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7A38" w:rsidRPr="00E22512" w:rsidRDefault="003C7A38" w:rsidP="003C7A38">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center"/>
        <w:rPr>
          <w:rFonts w:ascii="Times New Roman" w:hAnsi="Times New Roman" w:cs="Times New Roman"/>
          <w:b/>
          <w:sz w:val="28"/>
          <w:szCs w:val="28"/>
        </w:rPr>
      </w:pPr>
      <w:r w:rsidRPr="00E22512">
        <w:rPr>
          <w:rFonts w:ascii="Times New Roman" w:hAnsi="Times New Roman" w:cs="Times New Roman"/>
          <w:b/>
          <w:sz w:val="28"/>
          <w:szCs w:val="28"/>
        </w:rPr>
        <w:t>Моделювання основних економічних показників для групи нових країн Європейського Союзу, що перебували у складі Радянського Союзу</w:t>
      </w:r>
    </w:p>
    <w:p w:rsidR="003C7A38" w:rsidRPr="00E22512" w:rsidRDefault="003C7A38" w:rsidP="003C7A38">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center"/>
        <w:rPr>
          <w:b/>
        </w:rPr>
      </w:pPr>
    </w:p>
    <w:p w:rsidR="003F0E84" w:rsidRDefault="003C7A38" w:rsidP="003F0E84">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360" w:lineRule="auto"/>
        <w:jc w:val="both"/>
        <w:rPr>
          <w:rFonts w:ascii="Times New Roman" w:hAnsi="Times New Roman" w:cs="Times New Roman"/>
          <w:sz w:val="28"/>
          <w:szCs w:val="28"/>
        </w:rPr>
      </w:pPr>
      <w:r>
        <w:tab/>
      </w:r>
      <w:r w:rsidRPr="003769A6">
        <w:rPr>
          <w:rFonts w:ascii="Times New Roman" w:hAnsi="Times New Roman" w:cs="Times New Roman"/>
          <w:sz w:val="28"/>
          <w:szCs w:val="28"/>
        </w:rPr>
        <w:t>Актуальність дослідження нових країн ЄС, що входили до складу Радянського Союзу перш за все пояснюється сучасною економіко-політичною ситуацією, що склалася в Україні.  Обравши вектор європейської інтеграції, необхідно усвідомити, що процес входження України до ЄС є важким політично</w:t>
      </w:r>
      <w:r>
        <w:rPr>
          <w:rFonts w:ascii="Times New Roman" w:hAnsi="Times New Roman" w:cs="Times New Roman"/>
          <w:sz w:val="28"/>
          <w:szCs w:val="28"/>
        </w:rPr>
        <w:t xml:space="preserve"> </w:t>
      </w:r>
      <w:r w:rsidRPr="003769A6">
        <w:rPr>
          <w:rFonts w:ascii="Times New Roman" w:hAnsi="Times New Roman" w:cs="Times New Roman"/>
          <w:sz w:val="28"/>
          <w:szCs w:val="28"/>
        </w:rPr>
        <w:t>-</w:t>
      </w:r>
      <w:r>
        <w:rPr>
          <w:rFonts w:ascii="Times New Roman" w:hAnsi="Times New Roman" w:cs="Times New Roman"/>
          <w:sz w:val="28"/>
          <w:szCs w:val="28"/>
        </w:rPr>
        <w:t xml:space="preserve"> </w:t>
      </w:r>
      <w:r w:rsidRPr="003769A6">
        <w:rPr>
          <w:rFonts w:ascii="Times New Roman" w:hAnsi="Times New Roman" w:cs="Times New Roman"/>
          <w:sz w:val="28"/>
          <w:szCs w:val="28"/>
        </w:rPr>
        <w:t>глобалізаційним процесом, що зумовлено як суспільно-владною, так й  економічною складовою. Європейська інтеграція для України, відкриває не лише прийняття європейських стандартів з розвитку інфраструктури, освіти, медицини, соціального забезпечення тощо, а й нові ринки збуту, розвиток інвестиційного потенціалу країни, поліпшення умов ведення бізнесу, впровадження стандартів ЄС у виробництво, об`єднання енергетичних потенціалів країн та багато інших стимулюючих державну економіку факторів. Однак, необхідно приймати до уваги й те, що процес євроінтеграції має певні негативні сторони, такі як: втрата конкурентоспроможності певних галузей, можливе перенесення шкідливих виробництв на територію України, тяжкий процес адаптації до європейського рівня цін, поглиблення демографічного спаду тощо. Саме тому першочергове значення для української економіки на етапі європейської інтеграції має розробка та впровадження в</w:t>
      </w:r>
      <w:r>
        <w:rPr>
          <w:rFonts w:ascii="Times New Roman" w:hAnsi="Times New Roman" w:cs="Times New Roman"/>
          <w:sz w:val="28"/>
          <w:szCs w:val="28"/>
        </w:rPr>
        <w:t>иважен</w:t>
      </w:r>
      <w:r w:rsidRPr="003769A6">
        <w:rPr>
          <w:rFonts w:ascii="Times New Roman" w:hAnsi="Times New Roman" w:cs="Times New Roman"/>
          <w:sz w:val="28"/>
          <w:szCs w:val="28"/>
        </w:rPr>
        <w:t>ої економічної стратегії та тактики держави, що спрямовано н</w:t>
      </w:r>
      <w:r>
        <w:rPr>
          <w:rFonts w:ascii="Times New Roman" w:hAnsi="Times New Roman" w:cs="Times New Roman"/>
          <w:sz w:val="28"/>
          <w:szCs w:val="28"/>
        </w:rPr>
        <w:t>а</w:t>
      </w:r>
      <w:r w:rsidRPr="003769A6">
        <w:rPr>
          <w:rFonts w:ascii="Times New Roman" w:hAnsi="Times New Roman" w:cs="Times New Roman"/>
          <w:sz w:val="28"/>
          <w:szCs w:val="28"/>
        </w:rPr>
        <w:t xml:space="preserve"> результативну економічну політику та згладжування закономірно-негативних тенденцій, пов`язаних з процесами глобалізації та об`єднання держав. Беручи за основу історичну ретроспективу практик розширення Європейського Союзу, можна побудувати шлях української євроінтеграції, що враховує, як позитивний, так і негативний досвід країн, які були прийняті до ЄС. Особливої уваги, у даному контексті заслуговує етап п’ятого розширення ЄС, що відбувся у 2004 році, адже саме у цей час до ЄС входять не лише країни з відмінною для попередніх членів союзу економікою, а й ті країни, що </w:t>
      </w:r>
      <w:r>
        <w:rPr>
          <w:rFonts w:ascii="Times New Roman" w:hAnsi="Times New Roman" w:cs="Times New Roman"/>
          <w:sz w:val="28"/>
          <w:szCs w:val="28"/>
        </w:rPr>
        <w:t xml:space="preserve">аналогічно з Україною </w:t>
      </w:r>
      <w:r w:rsidRPr="003769A6">
        <w:rPr>
          <w:rFonts w:ascii="Times New Roman" w:hAnsi="Times New Roman" w:cs="Times New Roman"/>
          <w:sz w:val="28"/>
          <w:szCs w:val="28"/>
        </w:rPr>
        <w:t>входили до складу Радянського Союзу, а саме такі країни як Латвія та Литва</w:t>
      </w:r>
      <w:r>
        <w:rPr>
          <w:rFonts w:ascii="Times New Roman" w:hAnsi="Times New Roman" w:cs="Times New Roman"/>
          <w:sz w:val="28"/>
          <w:szCs w:val="28"/>
        </w:rPr>
        <w:t xml:space="preserve">. Як відомо, країни, що входили до складу Радянського Союзу мали планову економіку, з </w:t>
      </w:r>
      <w:r>
        <w:rPr>
          <w:rFonts w:ascii="Times New Roman" w:hAnsi="Times New Roman" w:cs="Times New Roman"/>
          <w:sz w:val="28"/>
          <w:szCs w:val="28"/>
        </w:rPr>
        <w:lastRenderedPageBreak/>
        <w:t xml:space="preserve">високим рівнем бюрократичного апарату, після розпаду СРСР, серед держав- членів Союзу відбувалися важкі трансформаційні процеси,які характеризувалися занепадом економіки, високим рівнем інфляції, безробіття, роздержавленням майна тощо. </w:t>
      </w:r>
    </w:p>
    <w:p w:rsidR="003C7A38" w:rsidRDefault="003F0E84" w:rsidP="003C7A38">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Д</w:t>
      </w:r>
      <w:r w:rsidR="003C7A38">
        <w:rPr>
          <w:rFonts w:ascii="Times New Roman" w:hAnsi="Times New Roman" w:cs="Times New Roman"/>
          <w:sz w:val="28"/>
          <w:szCs w:val="28"/>
        </w:rPr>
        <w:t xml:space="preserve">ля того, щоб мати повне уявлення про економічні тенденції та процеси, що відбувалися під час євроінтеграції досліджуваних країн  необхідно проаналізувати динаміку основних економічних показників, що характеризують економічних розвиток країни. </w:t>
      </w:r>
    </w:p>
    <w:p w:rsidR="00685B17" w:rsidRDefault="003C7A38" w:rsidP="003C7A38">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360" w:lineRule="auto"/>
        <w:jc w:val="both"/>
        <w:rPr>
          <w:rFonts w:ascii="Times New Roman" w:hAnsi="Times New Roman" w:cs="Times New Roman"/>
          <w:sz w:val="28"/>
          <w:szCs w:val="28"/>
        </w:rPr>
      </w:pPr>
      <w:r>
        <w:rPr>
          <w:rFonts w:ascii="Times New Roman" w:hAnsi="Times New Roman" w:cs="Times New Roman"/>
          <w:sz w:val="28"/>
          <w:szCs w:val="28"/>
        </w:rPr>
        <w:tab/>
        <w:t>Так досліджуючи динаміку рівня ВВП у Латвії та Литві з 1995 по 2012 р.р., бачимо, що досліджувані країни характеризуються дуже схожою тенденцією динаміки ВВП. Так з графіку</w:t>
      </w:r>
      <w:r w:rsidR="00685B17">
        <w:rPr>
          <w:rFonts w:ascii="Times New Roman" w:hAnsi="Times New Roman" w:cs="Times New Roman"/>
          <w:sz w:val="28"/>
          <w:szCs w:val="28"/>
        </w:rPr>
        <w:t xml:space="preserve"> </w:t>
      </w:r>
      <w:r>
        <w:rPr>
          <w:rFonts w:ascii="Times New Roman" w:hAnsi="Times New Roman" w:cs="Times New Roman"/>
          <w:sz w:val="28"/>
          <w:szCs w:val="28"/>
        </w:rPr>
        <w:t xml:space="preserve"> динаміки ВВП </w:t>
      </w:r>
      <w:r w:rsidR="00685B17">
        <w:rPr>
          <w:rFonts w:ascii="Times New Roman" w:hAnsi="Times New Roman" w:cs="Times New Roman"/>
          <w:sz w:val="28"/>
          <w:szCs w:val="28"/>
        </w:rPr>
        <w:t>(граф</w:t>
      </w:r>
      <w:proofErr w:type="spellStart"/>
      <w:r w:rsidR="00685B17">
        <w:rPr>
          <w:rFonts w:ascii="Times New Roman" w:hAnsi="Times New Roman" w:cs="Times New Roman"/>
          <w:sz w:val="28"/>
          <w:szCs w:val="28"/>
          <w:lang w:val="en-US"/>
        </w:rPr>
        <w:t>ік</w:t>
      </w:r>
      <w:proofErr w:type="spellEnd"/>
      <w:r w:rsidR="00685B17">
        <w:rPr>
          <w:rFonts w:ascii="Times New Roman" w:hAnsi="Times New Roman" w:cs="Times New Roman"/>
          <w:sz w:val="28"/>
          <w:szCs w:val="28"/>
          <w:lang w:val="en-US"/>
        </w:rPr>
        <w:t xml:space="preserve"> 1) </w:t>
      </w:r>
      <w:r>
        <w:rPr>
          <w:rFonts w:ascii="Times New Roman" w:hAnsi="Times New Roman" w:cs="Times New Roman"/>
          <w:sz w:val="28"/>
          <w:szCs w:val="28"/>
        </w:rPr>
        <w:t xml:space="preserve">видно, що з 1995 року по 2007 рік, у країнах відбувається економічне піднесення, що характеризується стрімким та стабільним зростанням обсягів ВВП. Значний спад ВВП у обох країнах спостерігається у 2007-2009 р.р., під час світової економічної кризи, що є закономірним процесом. Проте вже з 2010 року, як в Латвії так і в Литві показник ВВП має стрімку зростаючу динаміку, що свідчить про позитивні зрушення в економічних процесах країни. </w:t>
      </w:r>
    </w:p>
    <w:p w:rsidR="003C7A38" w:rsidRDefault="003C7A38" w:rsidP="003C7A38">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360" w:lineRule="auto"/>
        <w:jc w:val="center"/>
        <w:rPr>
          <w:rFonts w:ascii="Times New Roman" w:hAnsi="Times New Roman" w:cs="Times New Roman"/>
          <w:sz w:val="28"/>
          <w:szCs w:val="28"/>
        </w:rPr>
      </w:pPr>
      <w:r>
        <w:rPr>
          <w:noProof/>
          <w:lang w:val="en-US" w:eastAsia="ru-RU"/>
        </w:rPr>
        <w:drawing>
          <wp:inline distT="0" distB="0" distL="0" distR="0">
            <wp:extent cx="5386070" cy="3041015"/>
            <wp:effectExtent l="0" t="0" r="24130" b="26035"/>
            <wp:docPr id="3" name="Діаграма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3C7A38" w:rsidRPr="003769A6" w:rsidRDefault="003C7A38" w:rsidP="003C7A38">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360" w:lineRule="auto"/>
        <w:jc w:val="center"/>
        <w:rPr>
          <w:rFonts w:ascii="Times New Roman" w:hAnsi="Times New Roman" w:cs="Times New Roman"/>
          <w:sz w:val="28"/>
          <w:szCs w:val="28"/>
        </w:rPr>
      </w:pPr>
      <w:r>
        <w:rPr>
          <w:rFonts w:ascii="Times New Roman" w:hAnsi="Times New Roman" w:cs="Times New Roman"/>
          <w:sz w:val="28"/>
          <w:szCs w:val="28"/>
        </w:rPr>
        <w:t>Графік 1. Динаміка ВВП у фактичних цінах.</w:t>
      </w:r>
    </w:p>
    <w:p w:rsidR="003C7A38" w:rsidRDefault="003C7A38" w:rsidP="003C7A38">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360" w:lineRule="auto"/>
        <w:jc w:val="both"/>
        <w:rPr>
          <w:rFonts w:ascii="Times New Roman" w:hAnsi="Times New Roman" w:cs="Times New Roman"/>
          <w:sz w:val="28"/>
          <w:szCs w:val="28"/>
        </w:rPr>
      </w:pPr>
      <w:r>
        <w:rPr>
          <w:rFonts w:ascii="Times New Roman" w:hAnsi="Times New Roman" w:cs="Times New Roman"/>
          <w:sz w:val="28"/>
          <w:szCs w:val="28"/>
        </w:rPr>
        <w:tab/>
      </w:r>
    </w:p>
    <w:p w:rsidR="00685B17" w:rsidRDefault="00685B17" w:rsidP="003C7A38">
      <w:pPr>
        <w:spacing w:line="360" w:lineRule="auto"/>
        <w:ind w:firstLine="708"/>
        <w:jc w:val="both"/>
        <w:rPr>
          <w:sz w:val="28"/>
          <w:szCs w:val="28"/>
          <w:lang w:val="ru-RU"/>
        </w:rPr>
      </w:pPr>
    </w:p>
    <w:p w:rsidR="003164DE" w:rsidRDefault="003164DE" w:rsidP="00685B17">
      <w:pPr>
        <w:spacing w:after="200" w:line="360" w:lineRule="auto"/>
        <w:ind w:firstLine="708"/>
        <w:jc w:val="both"/>
        <w:rPr>
          <w:sz w:val="28"/>
          <w:szCs w:val="28"/>
          <w:lang w:val="ru-RU"/>
        </w:rPr>
      </w:pPr>
      <w:r>
        <w:rPr>
          <w:sz w:val="28"/>
          <w:szCs w:val="28"/>
          <w:lang w:val="ru-RU"/>
        </w:rPr>
        <w:lastRenderedPageBreak/>
        <w:t xml:space="preserve">Про </w:t>
      </w:r>
      <w:proofErr w:type="spellStart"/>
      <w:r>
        <w:rPr>
          <w:sz w:val="28"/>
          <w:szCs w:val="28"/>
          <w:lang w:val="ru-RU"/>
        </w:rPr>
        <w:t>позитивну</w:t>
      </w:r>
      <w:proofErr w:type="spellEnd"/>
      <w:r>
        <w:rPr>
          <w:sz w:val="28"/>
          <w:szCs w:val="28"/>
          <w:lang w:val="ru-RU"/>
        </w:rPr>
        <w:t xml:space="preserve"> </w:t>
      </w:r>
      <w:proofErr w:type="spellStart"/>
      <w:r>
        <w:rPr>
          <w:sz w:val="28"/>
          <w:szCs w:val="28"/>
          <w:lang w:val="ru-RU"/>
        </w:rPr>
        <w:t>економічну</w:t>
      </w:r>
      <w:proofErr w:type="spellEnd"/>
      <w:r>
        <w:rPr>
          <w:sz w:val="28"/>
          <w:szCs w:val="28"/>
          <w:lang w:val="ru-RU"/>
        </w:rPr>
        <w:t xml:space="preserve"> </w:t>
      </w:r>
      <w:proofErr w:type="spellStart"/>
      <w:r>
        <w:rPr>
          <w:sz w:val="28"/>
          <w:szCs w:val="28"/>
          <w:lang w:val="ru-RU"/>
        </w:rPr>
        <w:t>динаміку</w:t>
      </w:r>
      <w:proofErr w:type="spellEnd"/>
      <w:r>
        <w:rPr>
          <w:sz w:val="28"/>
          <w:szCs w:val="28"/>
          <w:lang w:val="ru-RU"/>
        </w:rPr>
        <w:t xml:space="preserve"> </w:t>
      </w:r>
      <w:proofErr w:type="spellStart"/>
      <w:r>
        <w:rPr>
          <w:sz w:val="28"/>
          <w:szCs w:val="28"/>
          <w:lang w:val="ru-RU"/>
        </w:rPr>
        <w:t>розвитку</w:t>
      </w:r>
      <w:proofErr w:type="spellEnd"/>
      <w:r>
        <w:rPr>
          <w:sz w:val="28"/>
          <w:szCs w:val="28"/>
          <w:lang w:val="ru-RU"/>
        </w:rPr>
        <w:t xml:space="preserve"> </w:t>
      </w:r>
      <w:proofErr w:type="spellStart"/>
      <w:r>
        <w:rPr>
          <w:sz w:val="28"/>
          <w:szCs w:val="28"/>
          <w:lang w:val="ru-RU"/>
        </w:rPr>
        <w:t>Латвії</w:t>
      </w:r>
      <w:proofErr w:type="spellEnd"/>
      <w:r>
        <w:rPr>
          <w:sz w:val="28"/>
          <w:szCs w:val="28"/>
          <w:lang w:val="ru-RU"/>
        </w:rPr>
        <w:t xml:space="preserve"> та </w:t>
      </w:r>
      <w:proofErr w:type="spellStart"/>
      <w:r>
        <w:rPr>
          <w:sz w:val="28"/>
          <w:szCs w:val="28"/>
          <w:lang w:val="ru-RU"/>
        </w:rPr>
        <w:t>Литви</w:t>
      </w:r>
      <w:proofErr w:type="spellEnd"/>
      <w:r>
        <w:rPr>
          <w:sz w:val="28"/>
          <w:szCs w:val="28"/>
          <w:lang w:val="ru-RU"/>
        </w:rPr>
        <w:t xml:space="preserve"> </w:t>
      </w:r>
      <w:proofErr w:type="spellStart"/>
      <w:r>
        <w:rPr>
          <w:sz w:val="28"/>
          <w:szCs w:val="28"/>
          <w:lang w:val="ru-RU"/>
        </w:rPr>
        <w:t>також</w:t>
      </w:r>
      <w:proofErr w:type="spellEnd"/>
      <w:r>
        <w:rPr>
          <w:sz w:val="28"/>
          <w:szCs w:val="28"/>
          <w:lang w:val="ru-RU"/>
        </w:rPr>
        <w:t xml:space="preserve"> </w:t>
      </w:r>
      <w:proofErr w:type="spellStart"/>
      <w:r>
        <w:rPr>
          <w:sz w:val="28"/>
          <w:szCs w:val="28"/>
          <w:lang w:val="ru-RU"/>
        </w:rPr>
        <w:t>свідчать</w:t>
      </w:r>
      <w:proofErr w:type="spellEnd"/>
      <w:r>
        <w:rPr>
          <w:sz w:val="28"/>
          <w:szCs w:val="28"/>
          <w:lang w:val="ru-RU"/>
        </w:rPr>
        <w:t xml:space="preserve"> </w:t>
      </w:r>
      <w:proofErr w:type="spellStart"/>
      <w:r>
        <w:rPr>
          <w:sz w:val="28"/>
          <w:szCs w:val="28"/>
          <w:lang w:val="ru-RU"/>
        </w:rPr>
        <w:t>прогнознозні</w:t>
      </w:r>
      <w:proofErr w:type="spellEnd"/>
      <w:r>
        <w:rPr>
          <w:sz w:val="28"/>
          <w:szCs w:val="28"/>
          <w:lang w:val="ru-RU"/>
        </w:rPr>
        <w:t xml:space="preserve"> </w:t>
      </w:r>
      <w:proofErr w:type="spellStart"/>
      <w:r>
        <w:rPr>
          <w:sz w:val="28"/>
          <w:szCs w:val="28"/>
          <w:lang w:val="ru-RU"/>
        </w:rPr>
        <w:t>данні</w:t>
      </w:r>
      <w:proofErr w:type="spellEnd"/>
      <w:r>
        <w:rPr>
          <w:sz w:val="28"/>
          <w:szCs w:val="28"/>
          <w:lang w:val="ru-RU"/>
        </w:rPr>
        <w:t xml:space="preserve">. Так, </w:t>
      </w:r>
      <w:proofErr w:type="spellStart"/>
      <w:r>
        <w:rPr>
          <w:sz w:val="28"/>
          <w:szCs w:val="28"/>
          <w:lang w:val="ru-RU"/>
        </w:rPr>
        <w:t>побудований</w:t>
      </w:r>
      <w:proofErr w:type="spellEnd"/>
      <w:r>
        <w:rPr>
          <w:sz w:val="28"/>
          <w:szCs w:val="28"/>
          <w:lang w:val="ru-RU"/>
        </w:rPr>
        <w:t xml:space="preserve"> на </w:t>
      </w:r>
      <w:proofErr w:type="spellStart"/>
      <w:r>
        <w:rPr>
          <w:sz w:val="28"/>
          <w:szCs w:val="28"/>
          <w:lang w:val="ru-RU"/>
        </w:rPr>
        <w:t>основі</w:t>
      </w:r>
      <w:proofErr w:type="spellEnd"/>
      <w:r>
        <w:rPr>
          <w:sz w:val="28"/>
          <w:szCs w:val="28"/>
          <w:lang w:val="ru-RU"/>
        </w:rPr>
        <w:t xml:space="preserve"> методу </w:t>
      </w:r>
      <w:proofErr w:type="spellStart"/>
      <w:r>
        <w:rPr>
          <w:sz w:val="28"/>
          <w:szCs w:val="28"/>
          <w:lang w:val="ru-RU"/>
        </w:rPr>
        <w:t>аналітичного</w:t>
      </w:r>
      <w:proofErr w:type="spellEnd"/>
      <w:r>
        <w:rPr>
          <w:sz w:val="28"/>
          <w:szCs w:val="28"/>
          <w:lang w:val="ru-RU"/>
        </w:rPr>
        <w:t xml:space="preserve"> </w:t>
      </w:r>
      <w:proofErr w:type="spellStart"/>
      <w:r>
        <w:rPr>
          <w:sz w:val="28"/>
          <w:szCs w:val="28"/>
          <w:lang w:val="ru-RU"/>
        </w:rPr>
        <w:t>вирівнювання</w:t>
      </w:r>
      <w:proofErr w:type="spellEnd"/>
      <w:r>
        <w:rPr>
          <w:sz w:val="28"/>
          <w:szCs w:val="28"/>
          <w:lang w:val="ru-RU"/>
        </w:rPr>
        <w:t xml:space="preserve"> прогноз </w:t>
      </w:r>
      <w:proofErr w:type="spellStart"/>
      <w:r>
        <w:rPr>
          <w:sz w:val="28"/>
          <w:szCs w:val="28"/>
          <w:lang w:val="ru-RU"/>
        </w:rPr>
        <w:t>обсягу</w:t>
      </w:r>
      <w:proofErr w:type="spellEnd"/>
      <w:r>
        <w:rPr>
          <w:sz w:val="28"/>
          <w:szCs w:val="28"/>
          <w:lang w:val="ru-RU"/>
        </w:rPr>
        <w:t xml:space="preserve"> ВВП на 2013 – 2017 </w:t>
      </w:r>
      <w:proofErr w:type="spellStart"/>
      <w:r>
        <w:rPr>
          <w:sz w:val="28"/>
          <w:szCs w:val="28"/>
          <w:lang w:val="ru-RU"/>
        </w:rPr>
        <w:t>р.р</w:t>
      </w:r>
      <w:proofErr w:type="spellEnd"/>
      <w:r>
        <w:rPr>
          <w:sz w:val="28"/>
          <w:szCs w:val="28"/>
          <w:lang w:val="ru-RU"/>
        </w:rPr>
        <w:t>. (</w:t>
      </w:r>
      <w:proofErr w:type="spellStart"/>
      <w:r>
        <w:rPr>
          <w:sz w:val="28"/>
          <w:szCs w:val="28"/>
          <w:lang w:val="ru-RU"/>
        </w:rPr>
        <w:t>графік</w:t>
      </w:r>
      <w:proofErr w:type="spellEnd"/>
      <w:r>
        <w:rPr>
          <w:sz w:val="28"/>
          <w:szCs w:val="28"/>
          <w:lang w:val="ru-RU"/>
        </w:rPr>
        <w:t xml:space="preserve"> 2), </w:t>
      </w:r>
      <w:proofErr w:type="spellStart"/>
      <w:r>
        <w:rPr>
          <w:sz w:val="28"/>
          <w:szCs w:val="28"/>
          <w:lang w:val="ru-RU"/>
        </w:rPr>
        <w:t>дає</w:t>
      </w:r>
      <w:proofErr w:type="spellEnd"/>
      <w:r>
        <w:rPr>
          <w:sz w:val="28"/>
          <w:szCs w:val="28"/>
          <w:lang w:val="ru-RU"/>
        </w:rPr>
        <w:t xml:space="preserve"> </w:t>
      </w:r>
      <w:proofErr w:type="spellStart"/>
      <w:r>
        <w:rPr>
          <w:sz w:val="28"/>
          <w:szCs w:val="28"/>
          <w:lang w:val="ru-RU"/>
        </w:rPr>
        <w:t>змогу</w:t>
      </w:r>
      <w:proofErr w:type="spellEnd"/>
      <w:r>
        <w:rPr>
          <w:sz w:val="28"/>
          <w:szCs w:val="28"/>
          <w:lang w:val="ru-RU"/>
        </w:rPr>
        <w:t xml:space="preserve"> </w:t>
      </w:r>
      <w:proofErr w:type="spellStart"/>
      <w:r>
        <w:rPr>
          <w:sz w:val="28"/>
          <w:szCs w:val="28"/>
          <w:lang w:val="ru-RU"/>
        </w:rPr>
        <w:t>зробити</w:t>
      </w:r>
      <w:proofErr w:type="spellEnd"/>
      <w:r>
        <w:rPr>
          <w:sz w:val="28"/>
          <w:szCs w:val="28"/>
          <w:lang w:val="ru-RU"/>
        </w:rPr>
        <w:t xml:space="preserve"> </w:t>
      </w:r>
      <w:proofErr w:type="spellStart"/>
      <w:r>
        <w:rPr>
          <w:sz w:val="28"/>
          <w:szCs w:val="28"/>
          <w:lang w:val="ru-RU"/>
        </w:rPr>
        <w:t>висновок</w:t>
      </w:r>
      <w:proofErr w:type="spellEnd"/>
      <w:r>
        <w:rPr>
          <w:sz w:val="28"/>
          <w:szCs w:val="28"/>
          <w:lang w:val="ru-RU"/>
        </w:rPr>
        <w:t xml:space="preserve">, </w:t>
      </w:r>
      <w:proofErr w:type="spellStart"/>
      <w:r>
        <w:rPr>
          <w:sz w:val="28"/>
          <w:szCs w:val="28"/>
          <w:lang w:val="ru-RU"/>
        </w:rPr>
        <w:t>що</w:t>
      </w:r>
      <w:proofErr w:type="spellEnd"/>
      <w:r>
        <w:rPr>
          <w:sz w:val="28"/>
          <w:szCs w:val="28"/>
          <w:lang w:val="ru-RU"/>
        </w:rPr>
        <w:t xml:space="preserve"> </w:t>
      </w:r>
      <w:proofErr w:type="spellStart"/>
      <w:r>
        <w:rPr>
          <w:sz w:val="28"/>
          <w:szCs w:val="28"/>
          <w:lang w:val="ru-RU"/>
        </w:rPr>
        <w:t>економічний</w:t>
      </w:r>
      <w:proofErr w:type="spellEnd"/>
      <w:r>
        <w:rPr>
          <w:sz w:val="28"/>
          <w:szCs w:val="28"/>
          <w:lang w:val="ru-RU"/>
        </w:rPr>
        <w:t xml:space="preserve"> спад 2013 року, </w:t>
      </w:r>
      <w:proofErr w:type="spellStart"/>
      <w:r>
        <w:rPr>
          <w:sz w:val="28"/>
          <w:szCs w:val="28"/>
          <w:lang w:val="ru-RU"/>
        </w:rPr>
        <w:t>який</w:t>
      </w:r>
      <w:proofErr w:type="spellEnd"/>
      <w:r>
        <w:rPr>
          <w:sz w:val="28"/>
          <w:szCs w:val="28"/>
          <w:lang w:val="ru-RU"/>
        </w:rPr>
        <w:t xml:space="preserve"> </w:t>
      </w:r>
      <w:proofErr w:type="spellStart"/>
      <w:r>
        <w:rPr>
          <w:sz w:val="28"/>
          <w:szCs w:val="28"/>
          <w:lang w:val="ru-RU"/>
        </w:rPr>
        <w:t>спостерігався</w:t>
      </w:r>
      <w:proofErr w:type="spellEnd"/>
      <w:r>
        <w:rPr>
          <w:sz w:val="28"/>
          <w:szCs w:val="28"/>
          <w:lang w:val="ru-RU"/>
        </w:rPr>
        <w:t xml:space="preserve"> не </w:t>
      </w:r>
      <w:proofErr w:type="spellStart"/>
      <w:r>
        <w:rPr>
          <w:sz w:val="28"/>
          <w:szCs w:val="28"/>
          <w:lang w:val="ru-RU"/>
        </w:rPr>
        <w:t>лише</w:t>
      </w:r>
      <w:proofErr w:type="spellEnd"/>
      <w:r>
        <w:rPr>
          <w:sz w:val="28"/>
          <w:szCs w:val="28"/>
          <w:lang w:val="ru-RU"/>
        </w:rPr>
        <w:t xml:space="preserve"> у </w:t>
      </w:r>
      <w:proofErr w:type="spellStart"/>
      <w:r>
        <w:rPr>
          <w:sz w:val="28"/>
          <w:szCs w:val="28"/>
          <w:lang w:val="ru-RU"/>
        </w:rPr>
        <w:t>досліджуваних</w:t>
      </w:r>
      <w:proofErr w:type="spellEnd"/>
      <w:r>
        <w:rPr>
          <w:sz w:val="28"/>
          <w:szCs w:val="28"/>
          <w:lang w:val="ru-RU"/>
        </w:rPr>
        <w:t xml:space="preserve"> </w:t>
      </w:r>
      <w:proofErr w:type="spellStart"/>
      <w:r>
        <w:rPr>
          <w:sz w:val="28"/>
          <w:szCs w:val="28"/>
          <w:lang w:val="ru-RU"/>
        </w:rPr>
        <w:t>країнах</w:t>
      </w:r>
      <w:proofErr w:type="spellEnd"/>
      <w:r>
        <w:rPr>
          <w:sz w:val="28"/>
          <w:szCs w:val="28"/>
          <w:lang w:val="ru-RU"/>
        </w:rPr>
        <w:t xml:space="preserve">, а й у </w:t>
      </w:r>
      <w:proofErr w:type="spellStart"/>
      <w:r>
        <w:rPr>
          <w:sz w:val="28"/>
          <w:szCs w:val="28"/>
          <w:lang w:val="ru-RU"/>
        </w:rPr>
        <w:t>більшості</w:t>
      </w:r>
      <w:proofErr w:type="spellEnd"/>
      <w:r>
        <w:rPr>
          <w:sz w:val="28"/>
          <w:szCs w:val="28"/>
          <w:lang w:val="ru-RU"/>
        </w:rPr>
        <w:t xml:space="preserve"> </w:t>
      </w:r>
      <w:proofErr w:type="spellStart"/>
      <w:r>
        <w:rPr>
          <w:sz w:val="28"/>
          <w:szCs w:val="28"/>
          <w:lang w:val="ru-RU"/>
        </w:rPr>
        <w:t>країн-членів</w:t>
      </w:r>
      <w:proofErr w:type="spellEnd"/>
      <w:r>
        <w:rPr>
          <w:sz w:val="28"/>
          <w:szCs w:val="28"/>
          <w:lang w:val="ru-RU"/>
        </w:rPr>
        <w:t xml:space="preserve"> ЄС [4]  буде </w:t>
      </w:r>
      <w:proofErr w:type="spellStart"/>
      <w:r>
        <w:rPr>
          <w:sz w:val="28"/>
          <w:szCs w:val="28"/>
          <w:lang w:val="ru-RU"/>
        </w:rPr>
        <w:t>стабілізовано</w:t>
      </w:r>
      <w:proofErr w:type="spellEnd"/>
      <w:r>
        <w:rPr>
          <w:sz w:val="28"/>
          <w:szCs w:val="28"/>
          <w:lang w:val="ru-RU"/>
        </w:rPr>
        <w:t xml:space="preserve"> з 2014 року, з </w:t>
      </w:r>
      <w:proofErr w:type="spellStart"/>
      <w:r>
        <w:rPr>
          <w:sz w:val="28"/>
          <w:szCs w:val="28"/>
          <w:lang w:val="ru-RU"/>
        </w:rPr>
        <w:t>подальшою</w:t>
      </w:r>
      <w:proofErr w:type="spellEnd"/>
      <w:r>
        <w:rPr>
          <w:sz w:val="28"/>
          <w:szCs w:val="28"/>
          <w:lang w:val="ru-RU"/>
        </w:rPr>
        <w:t xml:space="preserve"> позитивною </w:t>
      </w:r>
      <w:proofErr w:type="spellStart"/>
      <w:r>
        <w:rPr>
          <w:sz w:val="28"/>
          <w:szCs w:val="28"/>
          <w:lang w:val="ru-RU"/>
        </w:rPr>
        <w:t>динамікою</w:t>
      </w:r>
      <w:proofErr w:type="spellEnd"/>
      <w:r>
        <w:rPr>
          <w:sz w:val="28"/>
          <w:szCs w:val="28"/>
          <w:lang w:val="ru-RU"/>
        </w:rPr>
        <w:t xml:space="preserve"> </w:t>
      </w:r>
      <w:proofErr w:type="spellStart"/>
      <w:r>
        <w:rPr>
          <w:sz w:val="28"/>
          <w:szCs w:val="28"/>
          <w:lang w:val="ru-RU"/>
        </w:rPr>
        <w:t>економічного</w:t>
      </w:r>
      <w:proofErr w:type="spellEnd"/>
      <w:r>
        <w:rPr>
          <w:sz w:val="28"/>
          <w:szCs w:val="28"/>
          <w:lang w:val="ru-RU"/>
        </w:rPr>
        <w:t xml:space="preserve"> </w:t>
      </w:r>
      <w:proofErr w:type="spellStart"/>
      <w:r>
        <w:rPr>
          <w:sz w:val="28"/>
          <w:szCs w:val="28"/>
          <w:lang w:val="ru-RU"/>
        </w:rPr>
        <w:t>зростання</w:t>
      </w:r>
      <w:proofErr w:type="spellEnd"/>
      <w:r>
        <w:rPr>
          <w:sz w:val="28"/>
          <w:szCs w:val="28"/>
          <w:lang w:val="ru-RU"/>
        </w:rPr>
        <w:t xml:space="preserve">. </w:t>
      </w:r>
    </w:p>
    <w:p w:rsidR="00685B17" w:rsidRDefault="00685B17" w:rsidP="00685B17">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360" w:lineRule="auto"/>
        <w:jc w:val="both"/>
        <w:rPr>
          <w:noProof/>
        </w:rPr>
      </w:pPr>
      <w:r>
        <w:rPr>
          <w:noProof/>
          <w:lang w:val="en-US" w:eastAsia="ru-RU"/>
        </w:rPr>
        <w:drawing>
          <wp:inline distT="0" distB="0" distL="0" distR="0" wp14:anchorId="14B7604B" wp14:editId="59F5CC13">
            <wp:extent cx="6101080" cy="3414395"/>
            <wp:effectExtent l="0" t="0" r="13970" b="14605"/>
            <wp:docPr id="4" name="Діагра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685B17" w:rsidRPr="003164DE" w:rsidRDefault="00685B17" w:rsidP="003164DE">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360" w:lineRule="auto"/>
        <w:jc w:val="center"/>
        <w:rPr>
          <w:rFonts w:ascii="Times New Roman" w:hAnsi="Times New Roman" w:cs="Times New Roman"/>
          <w:noProof/>
        </w:rPr>
      </w:pPr>
      <w:r w:rsidRPr="007A1F90">
        <w:rPr>
          <w:rFonts w:ascii="Times New Roman" w:hAnsi="Times New Roman" w:cs="Times New Roman"/>
          <w:noProof/>
        </w:rPr>
        <w:t>Графік 2. Прогноз обсягу ВВП у фактичних цінах</w:t>
      </w:r>
    </w:p>
    <w:p w:rsidR="00685B17" w:rsidRDefault="00685B17" w:rsidP="003C7A38">
      <w:pPr>
        <w:spacing w:line="360" w:lineRule="auto"/>
        <w:ind w:firstLine="708"/>
        <w:jc w:val="both"/>
        <w:rPr>
          <w:sz w:val="28"/>
          <w:szCs w:val="28"/>
          <w:lang w:val="ru-RU"/>
        </w:rPr>
      </w:pPr>
    </w:p>
    <w:p w:rsidR="003C7A38" w:rsidRPr="003C7A38" w:rsidRDefault="003C7A38" w:rsidP="003C7A38">
      <w:pPr>
        <w:spacing w:line="360" w:lineRule="auto"/>
        <w:ind w:firstLine="708"/>
        <w:jc w:val="both"/>
        <w:rPr>
          <w:sz w:val="28"/>
          <w:szCs w:val="28"/>
          <w:lang w:val="ru-RU"/>
        </w:rPr>
      </w:pPr>
      <w:r>
        <w:rPr>
          <w:sz w:val="28"/>
          <w:szCs w:val="28"/>
          <w:lang w:val="ru-RU"/>
        </w:rPr>
        <w:t xml:space="preserve">Для того, </w:t>
      </w:r>
      <w:proofErr w:type="spellStart"/>
      <w:r>
        <w:rPr>
          <w:sz w:val="28"/>
          <w:szCs w:val="28"/>
          <w:lang w:val="ru-RU"/>
        </w:rPr>
        <w:t>щоб</w:t>
      </w:r>
      <w:proofErr w:type="spellEnd"/>
      <w:r>
        <w:rPr>
          <w:sz w:val="28"/>
          <w:szCs w:val="28"/>
          <w:lang w:val="ru-RU"/>
        </w:rPr>
        <w:t xml:space="preserve"> </w:t>
      </w:r>
      <w:proofErr w:type="spellStart"/>
      <w:r>
        <w:rPr>
          <w:sz w:val="28"/>
          <w:szCs w:val="28"/>
          <w:lang w:val="ru-RU"/>
        </w:rPr>
        <w:t>отримати</w:t>
      </w:r>
      <w:proofErr w:type="spellEnd"/>
      <w:r>
        <w:rPr>
          <w:sz w:val="28"/>
          <w:szCs w:val="28"/>
          <w:lang w:val="ru-RU"/>
        </w:rPr>
        <w:t xml:space="preserve"> </w:t>
      </w:r>
      <w:proofErr w:type="spellStart"/>
      <w:r>
        <w:rPr>
          <w:sz w:val="28"/>
          <w:szCs w:val="28"/>
          <w:lang w:val="ru-RU"/>
        </w:rPr>
        <w:t>повне</w:t>
      </w:r>
      <w:proofErr w:type="spellEnd"/>
      <w:r>
        <w:rPr>
          <w:sz w:val="28"/>
          <w:szCs w:val="28"/>
          <w:lang w:val="ru-RU"/>
        </w:rPr>
        <w:t xml:space="preserve"> та </w:t>
      </w:r>
      <w:proofErr w:type="spellStart"/>
      <w:r>
        <w:rPr>
          <w:sz w:val="28"/>
          <w:szCs w:val="28"/>
          <w:lang w:val="ru-RU"/>
        </w:rPr>
        <w:t>змістовне</w:t>
      </w:r>
      <w:proofErr w:type="spellEnd"/>
      <w:r>
        <w:rPr>
          <w:sz w:val="28"/>
          <w:szCs w:val="28"/>
          <w:lang w:val="ru-RU"/>
        </w:rPr>
        <w:t xml:space="preserve"> </w:t>
      </w:r>
      <w:proofErr w:type="spellStart"/>
      <w:r>
        <w:rPr>
          <w:sz w:val="28"/>
          <w:szCs w:val="28"/>
          <w:lang w:val="ru-RU"/>
        </w:rPr>
        <w:t>уявлення</w:t>
      </w:r>
      <w:proofErr w:type="spellEnd"/>
      <w:r>
        <w:rPr>
          <w:sz w:val="28"/>
          <w:szCs w:val="28"/>
          <w:lang w:val="ru-RU"/>
        </w:rPr>
        <w:t xml:space="preserve"> про стан </w:t>
      </w:r>
      <w:proofErr w:type="spellStart"/>
      <w:r>
        <w:rPr>
          <w:sz w:val="28"/>
          <w:szCs w:val="28"/>
          <w:lang w:val="ru-RU"/>
        </w:rPr>
        <w:t>економіки</w:t>
      </w:r>
      <w:proofErr w:type="spellEnd"/>
      <w:r>
        <w:rPr>
          <w:sz w:val="28"/>
          <w:szCs w:val="28"/>
          <w:lang w:val="ru-RU"/>
        </w:rPr>
        <w:t xml:space="preserve"> в </w:t>
      </w:r>
      <w:proofErr w:type="spellStart"/>
      <w:r>
        <w:rPr>
          <w:sz w:val="28"/>
          <w:szCs w:val="28"/>
          <w:lang w:val="ru-RU"/>
        </w:rPr>
        <w:t>Латвії</w:t>
      </w:r>
      <w:proofErr w:type="spellEnd"/>
      <w:r>
        <w:rPr>
          <w:sz w:val="28"/>
          <w:szCs w:val="28"/>
          <w:lang w:val="ru-RU"/>
        </w:rPr>
        <w:t xml:space="preserve"> та </w:t>
      </w:r>
      <w:proofErr w:type="spellStart"/>
      <w:r>
        <w:rPr>
          <w:sz w:val="28"/>
          <w:szCs w:val="28"/>
          <w:lang w:val="ru-RU"/>
        </w:rPr>
        <w:t>Латві</w:t>
      </w:r>
      <w:proofErr w:type="spellEnd"/>
      <w:r>
        <w:rPr>
          <w:sz w:val="28"/>
          <w:szCs w:val="28"/>
          <w:lang w:val="ru-RU"/>
        </w:rPr>
        <w:t xml:space="preserve">, </w:t>
      </w:r>
      <w:proofErr w:type="spellStart"/>
      <w:r>
        <w:rPr>
          <w:sz w:val="28"/>
          <w:szCs w:val="28"/>
          <w:lang w:val="ru-RU"/>
        </w:rPr>
        <w:t>особливу</w:t>
      </w:r>
      <w:proofErr w:type="spellEnd"/>
      <w:r>
        <w:rPr>
          <w:sz w:val="28"/>
          <w:szCs w:val="28"/>
          <w:lang w:val="ru-RU"/>
        </w:rPr>
        <w:t xml:space="preserve"> </w:t>
      </w:r>
      <w:proofErr w:type="spellStart"/>
      <w:r>
        <w:rPr>
          <w:sz w:val="28"/>
          <w:szCs w:val="28"/>
          <w:lang w:val="ru-RU"/>
        </w:rPr>
        <w:t>увагу</w:t>
      </w:r>
      <w:proofErr w:type="spellEnd"/>
      <w:r>
        <w:rPr>
          <w:sz w:val="28"/>
          <w:szCs w:val="28"/>
          <w:lang w:val="ru-RU"/>
        </w:rPr>
        <w:t xml:space="preserve"> </w:t>
      </w:r>
      <w:proofErr w:type="spellStart"/>
      <w:r>
        <w:rPr>
          <w:sz w:val="28"/>
          <w:szCs w:val="28"/>
          <w:lang w:val="ru-RU"/>
        </w:rPr>
        <w:t>зосередемо</w:t>
      </w:r>
      <w:proofErr w:type="spellEnd"/>
      <w:r>
        <w:rPr>
          <w:sz w:val="28"/>
          <w:szCs w:val="28"/>
          <w:lang w:val="ru-RU"/>
        </w:rPr>
        <w:t xml:space="preserve"> на </w:t>
      </w:r>
      <w:proofErr w:type="spellStart"/>
      <w:r>
        <w:rPr>
          <w:sz w:val="28"/>
          <w:szCs w:val="28"/>
          <w:lang w:val="ru-RU"/>
        </w:rPr>
        <w:t>дослідженні</w:t>
      </w:r>
      <w:proofErr w:type="spellEnd"/>
      <w:r>
        <w:rPr>
          <w:sz w:val="28"/>
          <w:szCs w:val="28"/>
          <w:lang w:val="ru-RU"/>
        </w:rPr>
        <w:t xml:space="preserve"> основного </w:t>
      </w:r>
      <w:proofErr w:type="spellStart"/>
      <w:r>
        <w:rPr>
          <w:sz w:val="28"/>
          <w:szCs w:val="28"/>
          <w:lang w:val="ru-RU"/>
        </w:rPr>
        <w:t>економічного</w:t>
      </w:r>
      <w:proofErr w:type="spellEnd"/>
      <w:r>
        <w:rPr>
          <w:sz w:val="28"/>
          <w:szCs w:val="28"/>
          <w:lang w:val="ru-RU"/>
        </w:rPr>
        <w:t xml:space="preserve"> </w:t>
      </w:r>
      <w:proofErr w:type="spellStart"/>
      <w:r>
        <w:rPr>
          <w:sz w:val="28"/>
          <w:szCs w:val="28"/>
          <w:lang w:val="ru-RU"/>
        </w:rPr>
        <w:t>показника</w:t>
      </w:r>
      <w:proofErr w:type="spellEnd"/>
      <w:r>
        <w:rPr>
          <w:sz w:val="28"/>
          <w:szCs w:val="28"/>
          <w:lang w:val="ru-RU"/>
        </w:rPr>
        <w:t xml:space="preserve"> – ВВП. Так, </w:t>
      </w:r>
      <w:proofErr w:type="spellStart"/>
      <w:r>
        <w:rPr>
          <w:sz w:val="28"/>
          <w:szCs w:val="28"/>
          <w:lang w:val="ru-RU"/>
        </w:rPr>
        <w:t>проведемо</w:t>
      </w:r>
      <w:proofErr w:type="spellEnd"/>
      <w:r>
        <w:rPr>
          <w:sz w:val="28"/>
          <w:szCs w:val="28"/>
          <w:lang w:val="ru-RU"/>
        </w:rPr>
        <w:t xml:space="preserve"> </w:t>
      </w:r>
      <w:proofErr w:type="spellStart"/>
      <w:r>
        <w:rPr>
          <w:sz w:val="28"/>
          <w:szCs w:val="28"/>
          <w:lang w:val="ru-RU"/>
        </w:rPr>
        <w:t>дослідження</w:t>
      </w:r>
      <w:proofErr w:type="spellEnd"/>
      <w:r>
        <w:rPr>
          <w:sz w:val="28"/>
          <w:szCs w:val="28"/>
          <w:lang w:val="ru-RU"/>
        </w:rPr>
        <w:t xml:space="preserve"> </w:t>
      </w:r>
      <w:proofErr w:type="spellStart"/>
      <w:r>
        <w:rPr>
          <w:sz w:val="28"/>
          <w:szCs w:val="28"/>
          <w:lang w:val="ru-RU"/>
        </w:rPr>
        <w:t>множинної</w:t>
      </w:r>
      <w:proofErr w:type="spellEnd"/>
      <w:r>
        <w:rPr>
          <w:sz w:val="28"/>
          <w:szCs w:val="28"/>
          <w:lang w:val="ru-RU"/>
        </w:rPr>
        <w:t xml:space="preserve"> </w:t>
      </w:r>
      <w:proofErr w:type="spellStart"/>
      <w:r>
        <w:rPr>
          <w:sz w:val="28"/>
          <w:szCs w:val="28"/>
          <w:lang w:val="ru-RU"/>
        </w:rPr>
        <w:t>кореляційної</w:t>
      </w:r>
      <w:proofErr w:type="spellEnd"/>
      <w:r>
        <w:rPr>
          <w:sz w:val="28"/>
          <w:szCs w:val="28"/>
          <w:lang w:val="ru-RU"/>
        </w:rPr>
        <w:t xml:space="preserve"> </w:t>
      </w:r>
      <w:proofErr w:type="spellStart"/>
      <w:r>
        <w:rPr>
          <w:sz w:val="28"/>
          <w:szCs w:val="28"/>
          <w:lang w:val="ru-RU"/>
        </w:rPr>
        <w:t>залежності</w:t>
      </w:r>
      <w:proofErr w:type="spellEnd"/>
      <w:r>
        <w:rPr>
          <w:sz w:val="28"/>
          <w:szCs w:val="28"/>
          <w:lang w:val="ru-RU"/>
        </w:rPr>
        <w:t xml:space="preserve"> ВВП </w:t>
      </w:r>
      <w:proofErr w:type="spellStart"/>
      <w:r>
        <w:rPr>
          <w:sz w:val="28"/>
          <w:szCs w:val="28"/>
          <w:lang w:val="ru-RU"/>
        </w:rPr>
        <w:t>від</w:t>
      </w:r>
      <w:proofErr w:type="spellEnd"/>
      <w:r>
        <w:rPr>
          <w:sz w:val="28"/>
          <w:szCs w:val="28"/>
          <w:lang w:val="ru-RU"/>
        </w:rPr>
        <w:t xml:space="preserve"> стану </w:t>
      </w:r>
      <w:proofErr w:type="spellStart"/>
      <w:r>
        <w:rPr>
          <w:sz w:val="28"/>
          <w:szCs w:val="28"/>
          <w:lang w:val="ru-RU"/>
        </w:rPr>
        <w:t>ключових</w:t>
      </w:r>
      <w:proofErr w:type="spellEnd"/>
      <w:r>
        <w:rPr>
          <w:sz w:val="28"/>
          <w:szCs w:val="28"/>
          <w:lang w:val="ru-RU"/>
        </w:rPr>
        <w:t xml:space="preserve"> </w:t>
      </w:r>
      <w:proofErr w:type="spellStart"/>
      <w:r>
        <w:rPr>
          <w:sz w:val="28"/>
          <w:szCs w:val="28"/>
          <w:lang w:val="ru-RU"/>
        </w:rPr>
        <w:t>економічних</w:t>
      </w:r>
      <w:proofErr w:type="spellEnd"/>
      <w:r>
        <w:rPr>
          <w:sz w:val="28"/>
          <w:szCs w:val="28"/>
          <w:lang w:val="ru-RU"/>
        </w:rPr>
        <w:t xml:space="preserve"> </w:t>
      </w:r>
      <w:proofErr w:type="spellStart"/>
      <w:r>
        <w:rPr>
          <w:sz w:val="28"/>
          <w:szCs w:val="28"/>
          <w:lang w:val="ru-RU"/>
        </w:rPr>
        <w:t>показників</w:t>
      </w:r>
      <w:proofErr w:type="spellEnd"/>
      <w:r>
        <w:rPr>
          <w:sz w:val="28"/>
          <w:szCs w:val="28"/>
          <w:lang w:val="ru-RU"/>
        </w:rPr>
        <w:t xml:space="preserve"> </w:t>
      </w:r>
      <w:proofErr w:type="spellStart"/>
      <w:r>
        <w:rPr>
          <w:sz w:val="28"/>
          <w:szCs w:val="28"/>
          <w:lang w:val="ru-RU"/>
        </w:rPr>
        <w:t>Литві</w:t>
      </w:r>
      <w:proofErr w:type="spellEnd"/>
      <w:r>
        <w:rPr>
          <w:sz w:val="28"/>
          <w:szCs w:val="28"/>
          <w:lang w:val="ru-RU"/>
        </w:rPr>
        <w:t xml:space="preserve"> та </w:t>
      </w:r>
      <w:proofErr w:type="spellStart"/>
      <w:r>
        <w:rPr>
          <w:sz w:val="28"/>
          <w:szCs w:val="28"/>
          <w:lang w:val="ru-RU"/>
        </w:rPr>
        <w:t>Латвії</w:t>
      </w:r>
      <w:proofErr w:type="spellEnd"/>
      <w:r>
        <w:rPr>
          <w:sz w:val="28"/>
          <w:szCs w:val="28"/>
          <w:lang w:val="ru-RU"/>
        </w:rPr>
        <w:t xml:space="preserve">.  </w:t>
      </w:r>
      <w:proofErr w:type="spellStart"/>
      <w:r w:rsidRPr="00135224">
        <w:rPr>
          <w:sz w:val="28"/>
          <w:szCs w:val="28"/>
          <w:lang w:val="ru-RU"/>
        </w:rPr>
        <w:t>Дослідження</w:t>
      </w:r>
      <w:proofErr w:type="spellEnd"/>
      <w:r w:rsidRPr="00135224">
        <w:rPr>
          <w:sz w:val="28"/>
          <w:szCs w:val="28"/>
          <w:lang w:val="ru-RU"/>
        </w:rPr>
        <w:t xml:space="preserve"> </w:t>
      </w:r>
      <w:proofErr w:type="spellStart"/>
      <w:r w:rsidRPr="00135224">
        <w:rPr>
          <w:sz w:val="28"/>
          <w:szCs w:val="28"/>
          <w:lang w:val="ru-RU"/>
        </w:rPr>
        <w:t>множинної</w:t>
      </w:r>
      <w:proofErr w:type="spellEnd"/>
      <w:r w:rsidRPr="00135224">
        <w:rPr>
          <w:sz w:val="28"/>
          <w:szCs w:val="28"/>
          <w:lang w:val="ru-RU"/>
        </w:rPr>
        <w:t xml:space="preserve"> </w:t>
      </w:r>
      <w:proofErr w:type="spellStart"/>
      <w:r w:rsidRPr="00135224">
        <w:rPr>
          <w:sz w:val="28"/>
          <w:szCs w:val="28"/>
          <w:lang w:val="ru-RU"/>
        </w:rPr>
        <w:t>кореляційної</w:t>
      </w:r>
      <w:proofErr w:type="spellEnd"/>
      <w:r w:rsidRPr="00135224">
        <w:rPr>
          <w:sz w:val="28"/>
          <w:szCs w:val="28"/>
          <w:lang w:val="ru-RU"/>
        </w:rPr>
        <w:t xml:space="preserve"> </w:t>
      </w:r>
      <w:proofErr w:type="spellStart"/>
      <w:r w:rsidRPr="00135224">
        <w:rPr>
          <w:sz w:val="28"/>
          <w:szCs w:val="28"/>
          <w:lang w:val="ru-RU"/>
        </w:rPr>
        <w:t>залежності</w:t>
      </w:r>
      <w:proofErr w:type="spellEnd"/>
      <w:r w:rsidRPr="00135224">
        <w:rPr>
          <w:sz w:val="28"/>
          <w:szCs w:val="28"/>
          <w:lang w:val="ru-RU"/>
        </w:rPr>
        <w:t xml:space="preserve"> </w:t>
      </w:r>
      <w:proofErr w:type="spellStart"/>
      <w:r w:rsidRPr="00135224">
        <w:rPr>
          <w:sz w:val="28"/>
          <w:szCs w:val="28"/>
          <w:lang w:val="ru-RU"/>
        </w:rPr>
        <w:t>передбачає</w:t>
      </w:r>
      <w:proofErr w:type="spellEnd"/>
      <w:r w:rsidRPr="00135224">
        <w:rPr>
          <w:sz w:val="28"/>
          <w:szCs w:val="28"/>
          <w:lang w:val="ru-RU"/>
        </w:rPr>
        <w:t xml:space="preserve"> </w:t>
      </w:r>
      <w:proofErr w:type="spellStart"/>
      <w:r w:rsidRPr="00135224">
        <w:rPr>
          <w:sz w:val="28"/>
          <w:szCs w:val="28"/>
          <w:lang w:val="ru-RU"/>
        </w:rPr>
        <w:t>оцінку</w:t>
      </w:r>
      <w:proofErr w:type="spellEnd"/>
      <w:r w:rsidRPr="00135224">
        <w:rPr>
          <w:sz w:val="28"/>
          <w:szCs w:val="28"/>
          <w:lang w:val="ru-RU"/>
        </w:rPr>
        <w:t xml:space="preserve"> </w:t>
      </w:r>
      <w:proofErr w:type="spellStart"/>
      <w:r w:rsidRPr="00135224">
        <w:rPr>
          <w:sz w:val="28"/>
          <w:szCs w:val="28"/>
          <w:lang w:val="ru-RU"/>
        </w:rPr>
        <w:t>впливу</w:t>
      </w:r>
      <w:proofErr w:type="spellEnd"/>
      <w:r w:rsidRPr="00135224">
        <w:rPr>
          <w:sz w:val="28"/>
          <w:szCs w:val="28"/>
          <w:lang w:val="ru-RU"/>
        </w:rPr>
        <w:t xml:space="preserve"> </w:t>
      </w:r>
      <w:proofErr w:type="spellStart"/>
      <w:r w:rsidRPr="00135224">
        <w:rPr>
          <w:sz w:val="28"/>
          <w:szCs w:val="28"/>
          <w:lang w:val="ru-RU"/>
        </w:rPr>
        <w:t>багатьох</w:t>
      </w:r>
      <w:proofErr w:type="spellEnd"/>
      <w:r w:rsidRPr="00135224">
        <w:rPr>
          <w:sz w:val="28"/>
          <w:szCs w:val="28"/>
          <w:lang w:val="ru-RU"/>
        </w:rPr>
        <w:t xml:space="preserve"> </w:t>
      </w:r>
      <w:proofErr w:type="spellStart"/>
      <w:r w:rsidRPr="00135224">
        <w:rPr>
          <w:sz w:val="28"/>
          <w:szCs w:val="28"/>
          <w:lang w:val="ru-RU"/>
        </w:rPr>
        <w:t>факторів</w:t>
      </w:r>
      <w:proofErr w:type="spellEnd"/>
      <w:r w:rsidRPr="00135224">
        <w:rPr>
          <w:sz w:val="28"/>
          <w:szCs w:val="28"/>
          <w:lang w:val="ru-RU"/>
        </w:rPr>
        <w:t xml:space="preserve"> на </w:t>
      </w:r>
      <w:proofErr w:type="spellStart"/>
      <w:r w:rsidRPr="00135224">
        <w:rPr>
          <w:sz w:val="28"/>
          <w:szCs w:val="28"/>
          <w:lang w:val="ru-RU"/>
        </w:rPr>
        <w:t>досліджувану</w:t>
      </w:r>
      <w:proofErr w:type="spellEnd"/>
      <w:r w:rsidRPr="00135224">
        <w:rPr>
          <w:sz w:val="28"/>
          <w:szCs w:val="28"/>
          <w:lang w:val="ru-RU"/>
        </w:rPr>
        <w:t xml:space="preserve"> </w:t>
      </w:r>
      <w:proofErr w:type="spellStart"/>
      <w:r w:rsidRPr="00135224">
        <w:rPr>
          <w:sz w:val="28"/>
          <w:szCs w:val="28"/>
          <w:lang w:val="ru-RU"/>
        </w:rPr>
        <w:t>ознаку</w:t>
      </w:r>
      <w:proofErr w:type="spellEnd"/>
      <w:r w:rsidRPr="00135224">
        <w:rPr>
          <w:sz w:val="28"/>
          <w:szCs w:val="28"/>
          <w:lang w:val="ru-RU"/>
        </w:rPr>
        <w:t>-р</w:t>
      </w:r>
      <w:r w:rsidRPr="00135224">
        <w:rPr>
          <w:sz w:val="28"/>
          <w:szCs w:val="28"/>
          <w:lang w:val="uk-UA"/>
        </w:rPr>
        <w:t xml:space="preserve">езультат, у данному випадку показник ВВП. Оцінимо вплив ряду факторів на формування ВВП в Латвії та Литві. У дослідженні результуючою ознакою Y – є показник ВВП (млн. євро). Якості ознак-факторів було обрано: </w:t>
      </w:r>
    </w:p>
    <w:p w:rsidR="003C7A38" w:rsidRPr="00135224" w:rsidRDefault="003C7A38" w:rsidP="003C7A38">
      <w:pPr>
        <w:spacing w:line="360" w:lineRule="auto"/>
        <w:jc w:val="both"/>
        <w:rPr>
          <w:sz w:val="28"/>
          <w:szCs w:val="28"/>
          <w:lang w:val="uk-UA"/>
        </w:rPr>
      </w:pPr>
      <w:r w:rsidRPr="00135224">
        <w:rPr>
          <w:sz w:val="28"/>
          <w:szCs w:val="28"/>
          <w:lang w:val="uk-UA"/>
        </w:rPr>
        <w:lastRenderedPageBreak/>
        <w:t>Х</w:t>
      </w:r>
      <w:r w:rsidRPr="003F0E84">
        <w:rPr>
          <w:sz w:val="28"/>
          <w:szCs w:val="28"/>
          <w:vertAlign w:val="subscript"/>
          <w:lang w:val="uk-UA"/>
        </w:rPr>
        <w:t>1</w:t>
      </w:r>
      <w:r w:rsidRPr="00135224">
        <w:rPr>
          <w:sz w:val="28"/>
          <w:szCs w:val="28"/>
          <w:lang w:val="uk-UA"/>
        </w:rPr>
        <w:t xml:space="preserve"> – показник експорту товарів та послуг в країні;</w:t>
      </w:r>
    </w:p>
    <w:p w:rsidR="003C7A38" w:rsidRPr="00135224" w:rsidRDefault="003C7A38" w:rsidP="003C7A38">
      <w:pPr>
        <w:spacing w:line="360" w:lineRule="auto"/>
        <w:jc w:val="both"/>
        <w:rPr>
          <w:sz w:val="28"/>
          <w:szCs w:val="28"/>
          <w:lang w:val="uk-UA"/>
        </w:rPr>
      </w:pPr>
      <w:r w:rsidRPr="00135224">
        <w:rPr>
          <w:sz w:val="28"/>
          <w:szCs w:val="28"/>
          <w:lang w:val="uk-UA"/>
        </w:rPr>
        <w:t>Х</w:t>
      </w:r>
      <w:r w:rsidRPr="003F0E84">
        <w:rPr>
          <w:sz w:val="28"/>
          <w:szCs w:val="28"/>
          <w:vertAlign w:val="subscript"/>
          <w:lang w:val="uk-UA"/>
        </w:rPr>
        <w:t>2</w:t>
      </w:r>
      <w:r w:rsidRPr="00135224">
        <w:rPr>
          <w:sz w:val="28"/>
          <w:szCs w:val="28"/>
          <w:lang w:val="uk-UA"/>
        </w:rPr>
        <w:t xml:space="preserve"> – показник валового нагромадження основного капіталу;</w:t>
      </w:r>
    </w:p>
    <w:p w:rsidR="003C7A38" w:rsidRPr="00135224" w:rsidRDefault="003C7A38" w:rsidP="003C7A38">
      <w:pPr>
        <w:spacing w:line="360" w:lineRule="auto"/>
        <w:jc w:val="both"/>
        <w:rPr>
          <w:sz w:val="28"/>
          <w:szCs w:val="28"/>
          <w:lang w:val="uk-UA"/>
        </w:rPr>
      </w:pPr>
      <w:r w:rsidRPr="00135224">
        <w:rPr>
          <w:sz w:val="28"/>
          <w:szCs w:val="28"/>
          <w:lang w:val="uk-UA"/>
        </w:rPr>
        <w:t>Х</w:t>
      </w:r>
      <w:r w:rsidRPr="003F0E84">
        <w:rPr>
          <w:sz w:val="28"/>
          <w:szCs w:val="28"/>
          <w:vertAlign w:val="subscript"/>
          <w:lang w:val="uk-UA"/>
        </w:rPr>
        <w:t>3</w:t>
      </w:r>
      <w:r w:rsidRPr="00135224">
        <w:rPr>
          <w:sz w:val="28"/>
          <w:szCs w:val="28"/>
          <w:lang w:val="uk-UA"/>
        </w:rPr>
        <w:t xml:space="preserve"> -  рівень інфляції в країні;</w:t>
      </w:r>
    </w:p>
    <w:p w:rsidR="003C7A38" w:rsidRPr="00135224" w:rsidRDefault="003C7A38" w:rsidP="003C7A38">
      <w:pPr>
        <w:spacing w:line="360" w:lineRule="auto"/>
        <w:jc w:val="both"/>
        <w:rPr>
          <w:sz w:val="28"/>
          <w:szCs w:val="28"/>
          <w:lang w:val="uk-UA"/>
        </w:rPr>
      </w:pPr>
      <w:r w:rsidRPr="00135224">
        <w:rPr>
          <w:sz w:val="28"/>
          <w:szCs w:val="28"/>
          <w:lang w:val="uk-UA"/>
        </w:rPr>
        <w:t>Х</w:t>
      </w:r>
      <w:r w:rsidRPr="003F0E84">
        <w:rPr>
          <w:sz w:val="28"/>
          <w:szCs w:val="28"/>
          <w:vertAlign w:val="subscript"/>
          <w:lang w:val="uk-UA"/>
        </w:rPr>
        <w:t>5</w:t>
      </w:r>
      <w:r w:rsidRPr="00135224">
        <w:rPr>
          <w:sz w:val="28"/>
          <w:szCs w:val="28"/>
          <w:lang w:val="uk-UA"/>
        </w:rPr>
        <w:t xml:space="preserve"> – Обсяг внутрішнього боргу;</w:t>
      </w:r>
    </w:p>
    <w:p w:rsidR="003C7A38" w:rsidRPr="00135224" w:rsidRDefault="003C7A38" w:rsidP="003C7A38">
      <w:pPr>
        <w:spacing w:line="360" w:lineRule="auto"/>
        <w:jc w:val="both"/>
        <w:rPr>
          <w:sz w:val="28"/>
          <w:szCs w:val="28"/>
          <w:lang w:val="uk-UA"/>
        </w:rPr>
      </w:pPr>
      <w:r w:rsidRPr="00135224">
        <w:rPr>
          <w:sz w:val="28"/>
          <w:szCs w:val="28"/>
          <w:lang w:val="uk-UA"/>
        </w:rPr>
        <w:t>Х</w:t>
      </w:r>
      <w:r w:rsidRPr="003F0E84">
        <w:rPr>
          <w:sz w:val="28"/>
          <w:szCs w:val="28"/>
          <w:vertAlign w:val="subscript"/>
          <w:lang w:val="uk-UA"/>
        </w:rPr>
        <w:t>6</w:t>
      </w:r>
      <w:r w:rsidRPr="00135224">
        <w:rPr>
          <w:sz w:val="28"/>
          <w:szCs w:val="28"/>
          <w:lang w:val="uk-UA"/>
        </w:rPr>
        <w:t>- Державні витрати на наукові дослідження та розробки;</w:t>
      </w:r>
    </w:p>
    <w:p w:rsidR="003C7A38" w:rsidRPr="00135224" w:rsidRDefault="003C7A38" w:rsidP="003C7A38">
      <w:pPr>
        <w:spacing w:line="360" w:lineRule="auto"/>
        <w:jc w:val="both"/>
        <w:rPr>
          <w:sz w:val="28"/>
          <w:szCs w:val="28"/>
          <w:lang w:val="uk-UA"/>
        </w:rPr>
      </w:pPr>
      <w:r w:rsidRPr="00135224">
        <w:rPr>
          <w:sz w:val="28"/>
          <w:szCs w:val="28"/>
          <w:lang w:val="uk-UA"/>
        </w:rPr>
        <w:t>Х</w:t>
      </w:r>
      <w:r w:rsidRPr="003F0E84">
        <w:rPr>
          <w:sz w:val="28"/>
          <w:szCs w:val="28"/>
          <w:vertAlign w:val="subscript"/>
          <w:lang w:val="uk-UA"/>
        </w:rPr>
        <w:t>9</w:t>
      </w:r>
      <w:r w:rsidRPr="00135224">
        <w:rPr>
          <w:sz w:val="28"/>
          <w:szCs w:val="28"/>
          <w:lang w:val="uk-UA"/>
        </w:rPr>
        <w:t xml:space="preserve"> – Кількість зайнятого населення в країні;</w:t>
      </w:r>
    </w:p>
    <w:p w:rsidR="003C7A38" w:rsidRPr="00135224" w:rsidRDefault="003C7A38" w:rsidP="003C7A38">
      <w:pPr>
        <w:spacing w:line="360" w:lineRule="auto"/>
        <w:jc w:val="both"/>
        <w:rPr>
          <w:sz w:val="28"/>
          <w:szCs w:val="28"/>
          <w:lang w:val="uk-UA"/>
        </w:rPr>
      </w:pPr>
      <w:r w:rsidRPr="00135224">
        <w:rPr>
          <w:sz w:val="28"/>
          <w:szCs w:val="28"/>
          <w:lang w:val="uk-UA"/>
        </w:rPr>
        <w:t>Х</w:t>
      </w:r>
      <w:r w:rsidRPr="003F0E84">
        <w:rPr>
          <w:sz w:val="28"/>
          <w:szCs w:val="28"/>
          <w:vertAlign w:val="subscript"/>
          <w:lang w:val="uk-UA"/>
        </w:rPr>
        <w:t>10</w:t>
      </w:r>
      <w:r w:rsidRPr="00135224">
        <w:rPr>
          <w:sz w:val="28"/>
          <w:szCs w:val="28"/>
          <w:lang w:val="uk-UA"/>
        </w:rPr>
        <w:t xml:space="preserve"> – Кількість не зайнятого населення в країні. </w:t>
      </w:r>
    </w:p>
    <w:p w:rsidR="003C7A38" w:rsidRPr="00135224" w:rsidRDefault="003C7A38" w:rsidP="003C7A38">
      <w:pPr>
        <w:spacing w:line="360" w:lineRule="auto"/>
        <w:ind w:firstLine="708"/>
        <w:jc w:val="both"/>
        <w:rPr>
          <w:sz w:val="28"/>
          <w:szCs w:val="28"/>
          <w:lang w:val="uk-UA"/>
        </w:rPr>
      </w:pPr>
      <w:r w:rsidRPr="00135224">
        <w:rPr>
          <w:sz w:val="28"/>
          <w:szCs w:val="28"/>
          <w:lang w:val="uk-UA"/>
        </w:rPr>
        <w:t>Під час дослідження було проаналізовано показники  за 2004 – 2012 р.р. за статистичними даними Європейського комітету статистики</w:t>
      </w:r>
      <w:r w:rsidR="003164DE">
        <w:rPr>
          <w:sz w:val="28"/>
          <w:szCs w:val="28"/>
          <w:lang w:val="ru-RU"/>
        </w:rPr>
        <w:t xml:space="preserve"> [3]</w:t>
      </w:r>
      <w:r w:rsidRPr="00135224">
        <w:rPr>
          <w:sz w:val="28"/>
          <w:szCs w:val="28"/>
          <w:lang w:val="uk-UA"/>
        </w:rPr>
        <w:t xml:space="preserve">. </w:t>
      </w:r>
    </w:p>
    <w:p w:rsidR="003C7A38" w:rsidRPr="00135224" w:rsidRDefault="003C7A38" w:rsidP="003C7A38">
      <w:pPr>
        <w:spacing w:line="360" w:lineRule="auto"/>
        <w:ind w:firstLine="708"/>
        <w:jc w:val="both"/>
        <w:rPr>
          <w:sz w:val="28"/>
          <w:szCs w:val="28"/>
          <w:lang w:val="uk-UA"/>
        </w:rPr>
      </w:pPr>
      <w:r w:rsidRPr="00135224">
        <w:rPr>
          <w:sz w:val="28"/>
          <w:szCs w:val="28"/>
          <w:lang w:val="uk-UA"/>
        </w:rPr>
        <w:t xml:space="preserve">Для забезпечення надійності математичних розрахунків та виключення вірогідності допущення помилок при розрахунках, під час побудови моделі множинної кореляційної залежності застосуємо програмне забезпечення Statistica 6.0. </w:t>
      </w:r>
    </w:p>
    <w:p w:rsidR="003C7A38" w:rsidRPr="00135224" w:rsidRDefault="003C7A38" w:rsidP="003C7A38">
      <w:pPr>
        <w:spacing w:line="360" w:lineRule="auto"/>
        <w:ind w:firstLine="708"/>
        <w:jc w:val="both"/>
        <w:rPr>
          <w:sz w:val="28"/>
          <w:szCs w:val="28"/>
          <w:lang w:val="uk-UA"/>
        </w:rPr>
      </w:pPr>
      <w:r w:rsidRPr="00135224">
        <w:rPr>
          <w:sz w:val="28"/>
          <w:szCs w:val="28"/>
          <w:lang w:val="uk-UA"/>
        </w:rPr>
        <w:t>На першому етапі аналізу було побудовано рівняння регресії, ввівши до нього усі обрані для дослідження ознаки-фактори.  За результатами розрахунків, отримані наступні</w:t>
      </w:r>
      <w:r w:rsidRPr="00135224">
        <w:rPr>
          <w:sz w:val="28"/>
          <w:szCs w:val="28"/>
          <w:lang w:val="ru-RU"/>
        </w:rPr>
        <w:t xml:space="preserve"> </w:t>
      </w:r>
      <w:r w:rsidRPr="00135224">
        <w:rPr>
          <w:sz w:val="28"/>
          <w:szCs w:val="28"/>
          <w:lang w:val="uk-UA"/>
        </w:rPr>
        <w:t xml:space="preserve"> рівняння регресії: </w:t>
      </w:r>
    </w:p>
    <w:p w:rsidR="003C7A38" w:rsidRDefault="003C7A38" w:rsidP="003C7A38">
      <w:pPr>
        <w:spacing w:line="360" w:lineRule="auto"/>
        <w:jc w:val="both"/>
        <w:rPr>
          <w:sz w:val="28"/>
          <w:szCs w:val="28"/>
          <w:lang w:val="uk-UA"/>
        </w:rPr>
      </w:pPr>
      <w:r w:rsidRPr="00135224">
        <w:rPr>
          <w:sz w:val="28"/>
          <w:szCs w:val="28"/>
          <w:lang w:val="uk-UA"/>
        </w:rPr>
        <w:t xml:space="preserve">Латвія: </w:t>
      </w:r>
    </w:p>
    <w:p w:rsidR="003C7A38" w:rsidRPr="003C7A38" w:rsidRDefault="003C7A38" w:rsidP="003C7A38">
      <w:pPr>
        <w:spacing w:line="360" w:lineRule="auto"/>
        <w:jc w:val="center"/>
        <w:rPr>
          <w:sz w:val="28"/>
          <w:szCs w:val="28"/>
          <w:lang w:val="uk-UA"/>
        </w:rPr>
      </w:pPr>
      <w:r w:rsidRPr="00135224">
        <w:rPr>
          <w:sz w:val="28"/>
          <w:szCs w:val="28"/>
        </w:rPr>
        <w:t>Y</w:t>
      </w:r>
      <w:r w:rsidRPr="003C7A38">
        <w:rPr>
          <w:sz w:val="28"/>
          <w:szCs w:val="28"/>
          <w:lang w:val="uk-UA"/>
        </w:rPr>
        <w:t xml:space="preserve"> = -8670,11 +0,38 </w:t>
      </w:r>
      <w:r w:rsidRPr="00135224">
        <w:rPr>
          <w:sz w:val="28"/>
          <w:szCs w:val="28"/>
        </w:rPr>
        <w:t>x</w:t>
      </w:r>
      <w:r w:rsidRPr="003C7A38">
        <w:rPr>
          <w:sz w:val="28"/>
          <w:szCs w:val="28"/>
          <w:lang w:val="uk-UA"/>
        </w:rPr>
        <w:t xml:space="preserve">1 + 1,85 </w:t>
      </w:r>
      <w:r w:rsidRPr="00135224">
        <w:rPr>
          <w:sz w:val="28"/>
          <w:szCs w:val="28"/>
        </w:rPr>
        <w:t>x</w:t>
      </w:r>
      <w:r w:rsidRPr="003C7A38">
        <w:rPr>
          <w:sz w:val="28"/>
          <w:szCs w:val="28"/>
          <w:lang w:val="uk-UA"/>
        </w:rPr>
        <w:t xml:space="preserve">2+ 56,80 </w:t>
      </w:r>
      <w:r w:rsidRPr="00135224">
        <w:rPr>
          <w:sz w:val="28"/>
          <w:szCs w:val="28"/>
        </w:rPr>
        <w:t>x</w:t>
      </w:r>
      <w:r w:rsidRPr="003C7A38">
        <w:rPr>
          <w:sz w:val="28"/>
          <w:szCs w:val="28"/>
          <w:lang w:val="uk-UA"/>
        </w:rPr>
        <w:t xml:space="preserve">3 – 60,64 </w:t>
      </w:r>
      <w:r w:rsidRPr="00135224">
        <w:rPr>
          <w:sz w:val="28"/>
          <w:szCs w:val="28"/>
        </w:rPr>
        <w:t>x</w:t>
      </w:r>
      <w:r w:rsidRPr="003C7A38">
        <w:rPr>
          <w:sz w:val="28"/>
          <w:szCs w:val="28"/>
          <w:lang w:val="uk-UA"/>
        </w:rPr>
        <w:t>4 + 26,61</w:t>
      </w:r>
      <w:r w:rsidRPr="00135224">
        <w:rPr>
          <w:sz w:val="28"/>
          <w:szCs w:val="28"/>
        </w:rPr>
        <w:t>x</w:t>
      </w:r>
      <w:r w:rsidRPr="003C7A38">
        <w:rPr>
          <w:sz w:val="28"/>
          <w:szCs w:val="28"/>
          <w:lang w:val="uk-UA"/>
        </w:rPr>
        <w:t>5+1,31</w:t>
      </w:r>
      <w:r w:rsidRPr="00135224">
        <w:rPr>
          <w:sz w:val="28"/>
          <w:szCs w:val="28"/>
        </w:rPr>
        <w:t>x</w:t>
      </w:r>
      <w:r w:rsidRPr="003C7A38">
        <w:rPr>
          <w:sz w:val="28"/>
          <w:szCs w:val="28"/>
          <w:lang w:val="uk-UA"/>
        </w:rPr>
        <w:t xml:space="preserve">6 + 372,43 </w:t>
      </w:r>
      <w:r w:rsidRPr="00135224">
        <w:rPr>
          <w:sz w:val="28"/>
          <w:szCs w:val="28"/>
        </w:rPr>
        <w:t>x</w:t>
      </w:r>
      <w:r w:rsidRPr="003C7A38">
        <w:rPr>
          <w:sz w:val="28"/>
          <w:szCs w:val="28"/>
          <w:lang w:val="uk-UA"/>
        </w:rPr>
        <w:t>7</w:t>
      </w:r>
      <w:r w:rsidRPr="00135224">
        <w:rPr>
          <w:sz w:val="28"/>
          <w:szCs w:val="28"/>
          <w:lang w:val="uk-UA"/>
        </w:rPr>
        <w:t>; R</w:t>
      </w:r>
      <w:r w:rsidRPr="00135224">
        <w:rPr>
          <w:sz w:val="28"/>
          <w:szCs w:val="28"/>
          <w:vertAlign w:val="superscript"/>
          <w:lang w:val="uk-UA"/>
        </w:rPr>
        <w:t>2</w:t>
      </w:r>
      <w:r w:rsidRPr="00135224">
        <w:rPr>
          <w:sz w:val="28"/>
          <w:szCs w:val="28"/>
          <w:lang w:val="uk-UA"/>
        </w:rPr>
        <w:t>=0,99</w:t>
      </w:r>
      <w:r>
        <w:rPr>
          <w:sz w:val="28"/>
          <w:szCs w:val="28"/>
          <w:lang w:val="uk-UA"/>
        </w:rPr>
        <w:t xml:space="preserve">           (1)</w:t>
      </w:r>
    </w:p>
    <w:p w:rsidR="003C7A38" w:rsidRDefault="003C7A38" w:rsidP="003C7A38">
      <w:pPr>
        <w:spacing w:line="360" w:lineRule="auto"/>
        <w:jc w:val="both"/>
        <w:rPr>
          <w:sz w:val="28"/>
          <w:szCs w:val="28"/>
          <w:lang w:val="uk-UA"/>
        </w:rPr>
      </w:pPr>
      <w:r w:rsidRPr="00135224">
        <w:rPr>
          <w:sz w:val="28"/>
          <w:szCs w:val="28"/>
          <w:lang w:val="uk-UA"/>
        </w:rPr>
        <w:t xml:space="preserve">Литва:  </w:t>
      </w:r>
    </w:p>
    <w:p w:rsidR="003C7A38" w:rsidRPr="00135224" w:rsidRDefault="003C7A38" w:rsidP="003C7A38">
      <w:pPr>
        <w:spacing w:line="360" w:lineRule="auto"/>
        <w:jc w:val="center"/>
        <w:rPr>
          <w:sz w:val="28"/>
          <w:szCs w:val="28"/>
          <w:lang w:val="uk-UA"/>
        </w:rPr>
      </w:pPr>
      <w:r w:rsidRPr="00135224">
        <w:rPr>
          <w:sz w:val="28"/>
          <w:szCs w:val="28"/>
        </w:rPr>
        <w:t>Y</w:t>
      </w:r>
      <w:r w:rsidRPr="00135224">
        <w:rPr>
          <w:sz w:val="28"/>
          <w:szCs w:val="28"/>
          <w:lang w:val="ru-RU"/>
        </w:rPr>
        <w:t xml:space="preserve"> = -</w:t>
      </w:r>
      <w:r w:rsidRPr="00135224">
        <w:rPr>
          <w:sz w:val="28"/>
          <w:szCs w:val="28"/>
          <w:lang w:val="uk-UA"/>
        </w:rPr>
        <w:t xml:space="preserve">23332,2 - </w:t>
      </w:r>
      <w:r w:rsidRPr="00135224">
        <w:rPr>
          <w:sz w:val="28"/>
          <w:szCs w:val="28"/>
          <w:lang w:val="ru-RU"/>
        </w:rPr>
        <w:t>0,</w:t>
      </w:r>
      <w:r w:rsidRPr="00135224">
        <w:rPr>
          <w:sz w:val="28"/>
          <w:szCs w:val="28"/>
          <w:lang w:val="uk-UA"/>
        </w:rPr>
        <w:t>1</w:t>
      </w:r>
      <w:r w:rsidRPr="00135224">
        <w:rPr>
          <w:sz w:val="28"/>
          <w:szCs w:val="28"/>
          <w:lang w:val="ru-RU"/>
        </w:rPr>
        <w:t xml:space="preserve"> </w:t>
      </w:r>
      <w:r w:rsidRPr="00135224">
        <w:rPr>
          <w:sz w:val="28"/>
          <w:szCs w:val="28"/>
        </w:rPr>
        <w:t>x</w:t>
      </w:r>
      <w:r w:rsidRPr="00135224">
        <w:rPr>
          <w:sz w:val="28"/>
          <w:szCs w:val="28"/>
          <w:lang w:val="ru-RU"/>
        </w:rPr>
        <w:t>1 + 1,</w:t>
      </w:r>
      <w:r w:rsidRPr="00135224">
        <w:rPr>
          <w:sz w:val="28"/>
          <w:szCs w:val="28"/>
          <w:lang w:val="uk-UA"/>
        </w:rPr>
        <w:t>7</w:t>
      </w:r>
      <w:r w:rsidRPr="00135224">
        <w:rPr>
          <w:sz w:val="28"/>
          <w:szCs w:val="28"/>
          <w:lang w:val="ru-RU"/>
        </w:rPr>
        <w:t xml:space="preserve"> </w:t>
      </w:r>
      <w:r w:rsidRPr="00135224">
        <w:rPr>
          <w:sz w:val="28"/>
          <w:szCs w:val="28"/>
        </w:rPr>
        <w:t>x</w:t>
      </w:r>
      <w:r w:rsidRPr="00135224">
        <w:rPr>
          <w:sz w:val="28"/>
          <w:szCs w:val="28"/>
          <w:lang w:val="ru-RU"/>
        </w:rPr>
        <w:t>2+ 5</w:t>
      </w:r>
      <w:r w:rsidRPr="00135224">
        <w:rPr>
          <w:sz w:val="28"/>
          <w:szCs w:val="28"/>
          <w:lang w:val="uk-UA"/>
        </w:rPr>
        <w:t>04,3</w:t>
      </w:r>
      <w:r w:rsidRPr="00135224">
        <w:rPr>
          <w:sz w:val="28"/>
          <w:szCs w:val="28"/>
          <w:lang w:val="ru-RU"/>
        </w:rPr>
        <w:t xml:space="preserve"> </w:t>
      </w:r>
      <w:r w:rsidRPr="00135224">
        <w:rPr>
          <w:sz w:val="28"/>
          <w:szCs w:val="28"/>
        </w:rPr>
        <w:t>x</w:t>
      </w:r>
      <w:r w:rsidRPr="00135224">
        <w:rPr>
          <w:sz w:val="28"/>
          <w:szCs w:val="28"/>
          <w:lang w:val="ru-RU"/>
        </w:rPr>
        <w:t xml:space="preserve">3 </w:t>
      </w:r>
      <w:r w:rsidRPr="00135224">
        <w:rPr>
          <w:sz w:val="28"/>
          <w:szCs w:val="28"/>
          <w:lang w:val="uk-UA"/>
        </w:rPr>
        <w:t>+</w:t>
      </w:r>
      <w:r w:rsidRPr="00135224">
        <w:rPr>
          <w:sz w:val="28"/>
          <w:szCs w:val="28"/>
          <w:lang w:val="ru-RU"/>
        </w:rPr>
        <w:t xml:space="preserve"> </w:t>
      </w:r>
      <w:r w:rsidRPr="00135224">
        <w:rPr>
          <w:sz w:val="28"/>
          <w:szCs w:val="28"/>
          <w:lang w:val="uk-UA"/>
        </w:rPr>
        <w:t xml:space="preserve">165,5 </w:t>
      </w:r>
      <w:r w:rsidRPr="00135224">
        <w:rPr>
          <w:sz w:val="28"/>
          <w:szCs w:val="28"/>
        </w:rPr>
        <w:t>x</w:t>
      </w:r>
      <w:r w:rsidRPr="00135224">
        <w:rPr>
          <w:sz w:val="28"/>
          <w:szCs w:val="28"/>
          <w:lang w:val="ru-RU"/>
        </w:rPr>
        <w:t xml:space="preserve">4 </w:t>
      </w:r>
      <w:r w:rsidRPr="00135224">
        <w:rPr>
          <w:sz w:val="28"/>
          <w:szCs w:val="28"/>
          <w:lang w:val="uk-UA"/>
        </w:rPr>
        <w:t>–</w:t>
      </w:r>
      <w:r w:rsidRPr="00135224">
        <w:rPr>
          <w:sz w:val="28"/>
          <w:szCs w:val="28"/>
          <w:lang w:val="ru-RU"/>
        </w:rPr>
        <w:t xml:space="preserve"> </w:t>
      </w:r>
      <w:r w:rsidRPr="00135224">
        <w:rPr>
          <w:sz w:val="28"/>
          <w:szCs w:val="28"/>
          <w:lang w:val="uk-UA"/>
        </w:rPr>
        <w:t xml:space="preserve">58, 8 </w:t>
      </w:r>
      <w:r w:rsidRPr="00135224">
        <w:rPr>
          <w:sz w:val="28"/>
          <w:szCs w:val="28"/>
        </w:rPr>
        <w:t>x</w:t>
      </w:r>
      <w:r w:rsidRPr="00135224">
        <w:rPr>
          <w:sz w:val="28"/>
          <w:szCs w:val="28"/>
          <w:lang w:val="ru-RU"/>
        </w:rPr>
        <w:t>5</w:t>
      </w:r>
      <w:r w:rsidRPr="00135224">
        <w:rPr>
          <w:sz w:val="28"/>
          <w:szCs w:val="28"/>
          <w:lang w:val="uk-UA"/>
        </w:rPr>
        <w:t xml:space="preserve"> – 2,0 </w:t>
      </w:r>
      <w:r w:rsidRPr="00135224">
        <w:rPr>
          <w:sz w:val="28"/>
          <w:szCs w:val="28"/>
        </w:rPr>
        <w:t>x</w:t>
      </w:r>
      <w:r w:rsidRPr="00135224">
        <w:rPr>
          <w:sz w:val="28"/>
          <w:szCs w:val="28"/>
          <w:lang w:val="ru-RU"/>
        </w:rPr>
        <w:t xml:space="preserve">6 </w:t>
      </w:r>
      <w:r w:rsidRPr="00135224">
        <w:rPr>
          <w:sz w:val="28"/>
          <w:szCs w:val="28"/>
          <w:lang w:val="uk-UA"/>
        </w:rPr>
        <w:t>–</w:t>
      </w:r>
      <w:r w:rsidRPr="00135224">
        <w:rPr>
          <w:sz w:val="28"/>
          <w:szCs w:val="28"/>
          <w:lang w:val="ru-RU"/>
        </w:rPr>
        <w:t xml:space="preserve"> </w:t>
      </w:r>
      <w:r w:rsidRPr="00135224">
        <w:rPr>
          <w:sz w:val="28"/>
          <w:szCs w:val="28"/>
          <w:lang w:val="uk-UA"/>
        </w:rPr>
        <w:t>551,9</w:t>
      </w:r>
      <w:r w:rsidRPr="00135224">
        <w:rPr>
          <w:sz w:val="28"/>
          <w:szCs w:val="28"/>
          <w:lang w:val="ru-RU"/>
        </w:rPr>
        <w:t xml:space="preserve"> </w:t>
      </w:r>
      <w:r w:rsidRPr="00135224">
        <w:rPr>
          <w:sz w:val="28"/>
          <w:szCs w:val="28"/>
        </w:rPr>
        <w:t>x</w:t>
      </w:r>
      <w:r w:rsidRPr="00135224">
        <w:rPr>
          <w:sz w:val="28"/>
          <w:szCs w:val="28"/>
          <w:lang w:val="ru-RU"/>
        </w:rPr>
        <w:t>7</w:t>
      </w:r>
      <w:proofErr w:type="gramStart"/>
      <w:r w:rsidRPr="00135224">
        <w:rPr>
          <w:sz w:val="28"/>
          <w:szCs w:val="28"/>
          <w:lang w:val="uk-UA"/>
        </w:rPr>
        <w:t>;</w:t>
      </w:r>
      <w:r>
        <w:rPr>
          <w:sz w:val="28"/>
          <w:szCs w:val="28"/>
          <w:lang w:val="uk-UA"/>
        </w:rPr>
        <w:t xml:space="preserve">  </w:t>
      </w:r>
      <w:r w:rsidRPr="00135224">
        <w:rPr>
          <w:sz w:val="28"/>
          <w:szCs w:val="28"/>
          <w:lang w:val="uk-UA"/>
        </w:rPr>
        <w:t>R</w:t>
      </w:r>
      <w:r w:rsidRPr="00135224">
        <w:rPr>
          <w:sz w:val="28"/>
          <w:szCs w:val="28"/>
          <w:vertAlign w:val="superscript"/>
          <w:lang w:val="uk-UA"/>
        </w:rPr>
        <w:t>2</w:t>
      </w:r>
      <w:proofErr w:type="gramEnd"/>
      <w:r w:rsidRPr="00135224">
        <w:rPr>
          <w:sz w:val="28"/>
          <w:szCs w:val="28"/>
          <w:lang w:val="uk-UA"/>
        </w:rPr>
        <w:t>=0,99</w:t>
      </w:r>
      <w:r>
        <w:rPr>
          <w:sz w:val="28"/>
          <w:szCs w:val="28"/>
          <w:lang w:val="uk-UA"/>
        </w:rPr>
        <w:t xml:space="preserve">       (2)</w:t>
      </w:r>
    </w:p>
    <w:p w:rsidR="003C7A38" w:rsidRPr="00135224" w:rsidRDefault="003C7A38" w:rsidP="003C7A38">
      <w:pPr>
        <w:spacing w:line="360" w:lineRule="auto"/>
        <w:ind w:firstLine="720"/>
        <w:jc w:val="both"/>
        <w:rPr>
          <w:sz w:val="28"/>
          <w:szCs w:val="28"/>
          <w:lang w:val="uk-UA"/>
        </w:rPr>
      </w:pPr>
      <w:r w:rsidRPr="00135224">
        <w:rPr>
          <w:sz w:val="28"/>
          <w:szCs w:val="28"/>
          <w:lang w:val="uk-UA"/>
        </w:rPr>
        <w:t>Так, на основі побудованих моделей для двох досліджуваних країн, можна зробити висновок, що усі коефіцієнти, які включено до  рівнянь  множинної регресії є статистично значущими. Однак нас цікавлять лише ті фактори, які максимально впливають на результуючу ознаку Y, отже, наступним кроком розрахуємо кореляційні матриці,  з метою обґрунтованого відбору факторів для включення їх в рівняння.  Отримані кореляційні матриці  мають наступний вигляд</w:t>
      </w:r>
      <w:r>
        <w:rPr>
          <w:sz w:val="28"/>
          <w:szCs w:val="28"/>
          <w:lang w:val="uk-UA"/>
        </w:rPr>
        <w:t xml:space="preserve"> (рис.1-2)</w:t>
      </w:r>
      <w:r w:rsidRPr="00135224">
        <w:rPr>
          <w:sz w:val="28"/>
          <w:szCs w:val="28"/>
          <w:lang w:val="uk-UA"/>
        </w:rPr>
        <w:t xml:space="preserve">: </w:t>
      </w:r>
    </w:p>
    <w:p w:rsidR="003C7A38" w:rsidRPr="00135224" w:rsidRDefault="003C7A38" w:rsidP="003C7A38">
      <w:pPr>
        <w:spacing w:line="360" w:lineRule="auto"/>
        <w:jc w:val="both"/>
        <w:rPr>
          <w:noProof/>
          <w:sz w:val="28"/>
          <w:szCs w:val="28"/>
          <w:lang w:val="uk-UA" w:eastAsia="uk-UA"/>
        </w:rPr>
      </w:pPr>
    </w:p>
    <w:p w:rsidR="003C7A38" w:rsidRPr="00135224" w:rsidRDefault="003C7A38" w:rsidP="003C7A38">
      <w:pPr>
        <w:spacing w:line="360" w:lineRule="auto"/>
        <w:jc w:val="center"/>
        <w:rPr>
          <w:sz w:val="28"/>
          <w:szCs w:val="28"/>
          <w:lang w:val="uk-UA"/>
        </w:rPr>
      </w:pPr>
      <w:r>
        <w:rPr>
          <w:noProof/>
          <w:sz w:val="28"/>
          <w:szCs w:val="28"/>
          <w:lang w:eastAsia="ru-RU"/>
        </w:rPr>
        <w:lastRenderedPageBreak/>
        <w:drawing>
          <wp:inline distT="0" distB="0" distL="0" distR="0" wp14:anchorId="687196AF" wp14:editId="68AEAE69">
            <wp:extent cx="5741670" cy="1977390"/>
            <wp:effectExtent l="0" t="0" r="0" b="381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0">
                      <a:extLst>
                        <a:ext uri="{28A0092B-C50C-407E-A947-70E740481C1C}">
                          <a14:useLocalDpi xmlns:a14="http://schemas.microsoft.com/office/drawing/2010/main" val="0"/>
                        </a:ext>
                      </a:extLst>
                    </a:blip>
                    <a:srcRect l="9882" t="17728" r="10030" b="30185"/>
                    <a:stretch>
                      <a:fillRect/>
                    </a:stretch>
                  </pic:blipFill>
                  <pic:spPr bwMode="auto">
                    <a:xfrm>
                      <a:off x="0" y="0"/>
                      <a:ext cx="5741670" cy="1977390"/>
                    </a:xfrm>
                    <a:prstGeom prst="rect">
                      <a:avLst/>
                    </a:prstGeom>
                    <a:noFill/>
                    <a:ln>
                      <a:noFill/>
                    </a:ln>
                  </pic:spPr>
                </pic:pic>
              </a:graphicData>
            </a:graphic>
          </wp:inline>
        </w:drawing>
      </w:r>
    </w:p>
    <w:p w:rsidR="003C7A38" w:rsidRPr="00135224" w:rsidRDefault="003C7A38" w:rsidP="003C7A38">
      <w:pPr>
        <w:spacing w:line="360" w:lineRule="auto"/>
        <w:jc w:val="center"/>
        <w:rPr>
          <w:sz w:val="28"/>
          <w:szCs w:val="28"/>
          <w:lang w:val="uk-UA"/>
        </w:rPr>
      </w:pPr>
    </w:p>
    <w:p w:rsidR="003C7A38" w:rsidRPr="00686F72" w:rsidRDefault="003C7A38" w:rsidP="003C7A38">
      <w:pPr>
        <w:spacing w:line="360" w:lineRule="auto"/>
        <w:jc w:val="center"/>
        <w:rPr>
          <w:sz w:val="28"/>
          <w:szCs w:val="28"/>
          <w:lang w:val="uk-UA"/>
        </w:rPr>
      </w:pPr>
      <w:r w:rsidRPr="00135224">
        <w:rPr>
          <w:sz w:val="28"/>
          <w:szCs w:val="28"/>
          <w:lang w:val="uk-UA"/>
        </w:rPr>
        <w:t>Рис</w:t>
      </w:r>
      <w:r>
        <w:rPr>
          <w:sz w:val="28"/>
          <w:szCs w:val="28"/>
          <w:lang w:val="uk-UA"/>
        </w:rPr>
        <w:t xml:space="preserve"> 1</w:t>
      </w:r>
      <w:r w:rsidRPr="00135224">
        <w:rPr>
          <w:sz w:val="28"/>
          <w:szCs w:val="28"/>
          <w:lang w:val="uk-UA"/>
        </w:rPr>
        <w:t>. Кореляційна матриця. (Латвія)</w:t>
      </w:r>
    </w:p>
    <w:p w:rsidR="003C7A38" w:rsidRPr="00135224" w:rsidRDefault="003C7A38" w:rsidP="003C7A38">
      <w:pPr>
        <w:spacing w:line="360" w:lineRule="auto"/>
        <w:jc w:val="both"/>
        <w:rPr>
          <w:noProof/>
          <w:sz w:val="28"/>
          <w:szCs w:val="28"/>
          <w:lang w:val="uk-UA" w:eastAsia="uk-UA"/>
        </w:rPr>
      </w:pPr>
    </w:p>
    <w:p w:rsidR="003C7A38" w:rsidRPr="00135224" w:rsidRDefault="003C7A38" w:rsidP="003C7A38">
      <w:pPr>
        <w:spacing w:line="360" w:lineRule="auto"/>
        <w:jc w:val="center"/>
        <w:rPr>
          <w:sz w:val="28"/>
          <w:szCs w:val="28"/>
          <w:lang w:val="uk-UA"/>
        </w:rPr>
      </w:pPr>
      <w:r>
        <w:rPr>
          <w:noProof/>
          <w:sz w:val="28"/>
          <w:szCs w:val="28"/>
          <w:lang w:eastAsia="ru-RU"/>
        </w:rPr>
        <w:drawing>
          <wp:inline distT="0" distB="0" distL="0" distR="0" wp14:anchorId="1065CF22" wp14:editId="2CC80ECA">
            <wp:extent cx="6028690" cy="2222500"/>
            <wp:effectExtent l="0" t="0" r="0" b="635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11">
                      <a:extLst>
                        <a:ext uri="{28A0092B-C50C-407E-A947-70E740481C1C}">
                          <a14:useLocalDpi xmlns:a14="http://schemas.microsoft.com/office/drawing/2010/main" val="0"/>
                        </a:ext>
                      </a:extLst>
                    </a:blip>
                    <a:srcRect l="9657" t="19113" r="9813" b="27969"/>
                    <a:stretch>
                      <a:fillRect/>
                    </a:stretch>
                  </pic:blipFill>
                  <pic:spPr bwMode="auto">
                    <a:xfrm>
                      <a:off x="0" y="0"/>
                      <a:ext cx="6028690" cy="2222500"/>
                    </a:xfrm>
                    <a:prstGeom prst="rect">
                      <a:avLst/>
                    </a:prstGeom>
                    <a:noFill/>
                    <a:ln>
                      <a:noFill/>
                    </a:ln>
                  </pic:spPr>
                </pic:pic>
              </a:graphicData>
            </a:graphic>
          </wp:inline>
        </w:drawing>
      </w:r>
    </w:p>
    <w:p w:rsidR="003C7A38" w:rsidRPr="00135224" w:rsidRDefault="003C7A38" w:rsidP="003C7A38">
      <w:pPr>
        <w:spacing w:line="360" w:lineRule="auto"/>
        <w:jc w:val="center"/>
        <w:rPr>
          <w:sz w:val="28"/>
          <w:szCs w:val="28"/>
          <w:lang w:val="uk-UA"/>
        </w:rPr>
      </w:pPr>
      <w:r w:rsidRPr="00135224">
        <w:rPr>
          <w:sz w:val="28"/>
          <w:szCs w:val="28"/>
          <w:lang w:val="uk-UA"/>
        </w:rPr>
        <w:t>Рис</w:t>
      </w:r>
      <w:r>
        <w:rPr>
          <w:sz w:val="28"/>
          <w:szCs w:val="28"/>
          <w:lang w:val="uk-UA"/>
        </w:rPr>
        <w:t xml:space="preserve"> 2 </w:t>
      </w:r>
      <w:r w:rsidRPr="00135224">
        <w:rPr>
          <w:sz w:val="28"/>
          <w:szCs w:val="28"/>
          <w:lang w:val="uk-UA"/>
        </w:rPr>
        <w:t>. Кореляційна матриця. (Литва)</w:t>
      </w:r>
    </w:p>
    <w:p w:rsidR="003C7A38" w:rsidRPr="00135224" w:rsidRDefault="003C7A38" w:rsidP="003C7A38">
      <w:pPr>
        <w:spacing w:line="360" w:lineRule="auto"/>
        <w:jc w:val="both"/>
        <w:rPr>
          <w:sz w:val="28"/>
          <w:szCs w:val="28"/>
          <w:lang w:val="uk-UA"/>
        </w:rPr>
      </w:pPr>
    </w:p>
    <w:p w:rsidR="003C7A38" w:rsidRPr="00135224" w:rsidRDefault="003C7A38" w:rsidP="003C7A38">
      <w:pPr>
        <w:spacing w:line="360" w:lineRule="auto"/>
        <w:ind w:firstLine="720"/>
        <w:jc w:val="both"/>
        <w:rPr>
          <w:sz w:val="28"/>
          <w:szCs w:val="28"/>
          <w:lang w:val="uk-UA"/>
        </w:rPr>
      </w:pPr>
      <w:r w:rsidRPr="00135224">
        <w:rPr>
          <w:sz w:val="28"/>
          <w:szCs w:val="28"/>
          <w:lang w:val="uk-UA"/>
        </w:rPr>
        <w:t xml:space="preserve">Аналізуючи кореляційні матриці, можемо спостерігати відмінні результати при дослідженні двох країн Латвії та Литви. Так, як бачимо з отриманої кореляційної матриці, для Латвії практично не впливають на результуючу ознаку (ВВП країни) фактори х4 – обсяг внутрішнього боргу в країні; х6 – кількість зайнятого населення та х7 – кількість не зайнятого населення. Тоді, як ВВП Литви не корелює з х2 – валове нагромадження капіталу;  х4 – обсяг внутрішнього боргу в країні; х6 – кількість зайнятого населення та х7 – кількість не зайнятого населення. Відповідно ці фактори необхідно виключити з моделей. </w:t>
      </w:r>
    </w:p>
    <w:p w:rsidR="003C7A38" w:rsidRPr="00135224" w:rsidRDefault="003C7A38" w:rsidP="003C7A38">
      <w:pPr>
        <w:spacing w:line="360" w:lineRule="auto"/>
        <w:jc w:val="both"/>
        <w:rPr>
          <w:sz w:val="28"/>
          <w:szCs w:val="28"/>
          <w:lang w:val="uk-UA"/>
        </w:rPr>
      </w:pPr>
      <w:r w:rsidRPr="00135224">
        <w:rPr>
          <w:sz w:val="28"/>
          <w:szCs w:val="28"/>
          <w:lang w:val="uk-UA"/>
        </w:rPr>
        <w:tab/>
        <w:t xml:space="preserve">Дослідивши кореляційні матриці на предмет наявності колінеарних факторів, між якими існує тісний лінійний зв’язок, з’ясували, що такими </w:t>
      </w:r>
      <w:r w:rsidRPr="00135224">
        <w:rPr>
          <w:sz w:val="28"/>
          <w:szCs w:val="28"/>
          <w:lang w:val="uk-UA"/>
        </w:rPr>
        <w:lastRenderedPageBreak/>
        <w:t xml:space="preserve">факторами у обох випадках дослідження ВВП Латвії та Литви є фактори х1,х3,х5, оскільки коефіцієнти парної кореляції між ними близькі один до одного (усі більше 0,80). Це означає, що дані фактори опосередковують вплив один на одного та в моделі достатньо залишити лише один з них, чий коефіцієнт кореляції є найвищім. У випадку моделі для Латвії  – це х3 – рівень інфляції в країні та х5 – державні витрати на наукові дослідження та розробки для моделі Литви. </w:t>
      </w:r>
    </w:p>
    <w:p w:rsidR="003C7A38" w:rsidRPr="00135224" w:rsidRDefault="003C7A38" w:rsidP="003C7A38">
      <w:pPr>
        <w:spacing w:line="360" w:lineRule="auto"/>
        <w:jc w:val="both"/>
        <w:rPr>
          <w:sz w:val="28"/>
          <w:szCs w:val="28"/>
          <w:lang w:val="uk-UA"/>
        </w:rPr>
      </w:pPr>
      <w:r w:rsidRPr="00135224">
        <w:rPr>
          <w:sz w:val="28"/>
          <w:szCs w:val="28"/>
          <w:lang w:val="uk-UA"/>
        </w:rPr>
        <w:tab/>
        <w:t xml:space="preserve">Відібравши  фактори, які мають найсуттєвіший вплив на результуючу ознаку (ВВП), а саме: в моделі множинної регресії ВВП Латвії – це: х1 – експорт товарів та послуг, х2 – валове нагромадження основного капіталу, х3- рівень інфляції в країні;  в моделі множинної регресії ВВП  Литви – це: х1 – експорт товарів та послуг, х2 – валове нагромадження основного капіталу, х5 – державні витрати на наукові дослідження та розробки , будуємо нові  рівняння регресії з відібраними факторами. </w:t>
      </w:r>
    </w:p>
    <w:p w:rsidR="003C7A38" w:rsidRPr="00135224" w:rsidRDefault="003C7A38" w:rsidP="003C7A38">
      <w:pPr>
        <w:spacing w:line="360" w:lineRule="auto"/>
        <w:ind w:firstLine="720"/>
        <w:jc w:val="both"/>
        <w:rPr>
          <w:sz w:val="28"/>
          <w:szCs w:val="28"/>
          <w:lang w:val="uk-UA"/>
        </w:rPr>
      </w:pPr>
      <w:r w:rsidRPr="00135224">
        <w:rPr>
          <w:sz w:val="28"/>
          <w:szCs w:val="28"/>
          <w:lang w:val="uk-UA"/>
        </w:rPr>
        <w:t xml:space="preserve">Отримуємо нові  рівняння регресії: </w:t>
      </w:r>
    </w:p>
    <w:p w:rsidR="003C7A38" w:rsidRPr="00135224" w:rsidRDefault="003C7A38" w:rsidP="003C7A38">
      <w:pPr>
        <w:spacing w:line="360" w:lineRule="auto"/>
        <w:jc w:val="both"/>
        <w:rPr>
          <w:sz w:val="28"/>
          <w:szCs w:val="28"/>
          <w:lang w:val="uk-UA"/>
        </w:rPr>
      </w:pPr>
      <w:r w:rsidRPr="00135224">
        <w:rPr>
          <w:sz w:val="28"/>
          <w:szCs w:val="28"/>
          <w:lang w:val="uk-UA"/>
        </w:rPr>
        <w:t xml:space="preserve">Латвія: </w:t>
      </w:r>
    </w:p>
    <w:p w:rsidR="003C7A38" w:rsidRPr="00135224" w:rsidRDefault="003C7A38" w:rsidP="003C7A38">
      <w:pPr>
        <w:spacing w:line="360" w:lineRule="auto"/>
        <w:jc w:val="center"/>
        <w:rPr>
          <w:sz w:val="28"/>
          <w:szCs w:val="28"/>
          <w:lang w:val="uk-UA"/>
        </w:rPr>
      </w:pPr>
      <w:r w:rsidRPr="00135224">
        <w:rPr>
          <w:sz w:val="28"/>
          <w:szCs w:val="28"/>
          <w:lang w:val="uk-UA"/>
        </w:rPr>
        <w:t>Y= - 7024,15+0,16х1+1,54х2+131,35х3</w:t>
      </w:r>
    </w:p>
    <w:p w:rsidR="003C7A38" w:rsidRPr="003C7A38" w:rsidRDefault="003C7A38" w:rsidP="003C7A38">
      <w:pPr>
        <w:spacing w:line="360" w:lineRule="auto"/>
        <w:jc w:val="center"/>
        <w:rPr>
          <w:sz w:val="28"/>
          <w:szCs w:val="28"/>
          <w:lang w:val="uk-UA"/>
        </w:rPr>
      </w:pPr>
      <w:r w:rsidRPr="00135224">
        <w:rPr>
          <w:sz w:val="28"/>
          <w:szCs w:val="28"/>
        </w:rPr>
        <w:t>R</w:t>
      </w:r>
      <w:r w:rsidRPr="00135224">
        <w:rPr>
          <w:sz w:val="28"/>
          <w:szCs w:val="28"/>
          <w:lang w:val="uk-UA"/>
        </w:rPr>
        <w:t xml:space="preserve"> </w:t>
      </w:r>
      <w:r w:rsidRPr="00135224">
        <w:rPr>
          <w:sz w:val="28"/>
          <w:szCs w:val="28"/>
          <w:vertAlign w:val="superscript"/>
          <w:lang w:val="ru-RU"/>
        </w:rPr>
        <w:t>2</w:t>
      </w:r>
      <w:r w:rsidRPr="00135224">
        <w:rPr>
          <w:sz w:val="28"/>
          <w:szCs w:val="28"/>
          <w:lang w:val="ru-RU"/>
        </w:rPr>
        <w:t xml:space="preserve">=0, </w:t>
      </w:r>
      <w:r w:rsidRPr="00135224">
        <w:rPr>
          <w:sz w:val="28"/>
          <w:szCs w:val="28"/>
        </w:rPr>
        <w:t>995</w:t>
      </w:r>
      <w:r>
        <w:rPr>
          <w:sz w:val="28"/>
          <w:szCs w:val="28"/>
          <w:lang w:val="uk-UA"/>
        </w:rPr>
        <w:t xml:space="preserve">        (3)</w:t>
      </w:r>
    </w:p>
    <w:p w:rsidR="003C7A38" w:rsidRPr="00135224" w:rsidRDefault="003C7A38" w:rsidP="003C7A38">
      <w:pPr>
        <w:spacing w:line="360" w:lineRule="auto"/>
        <w:jc w:val="both"/>
        <w:rPr>
          <w:noProof/>
          <w:sz w:val="28"/>
          <w:szCs w:val="28"/>
          <w:lang w:val="uk-UA" w:eastAsia="uk-UA"/>
        </w:rPr>
      </w:pPr>
    </w:p>
    <w:p w:rsidR="003C7A38" w:rsidRPr="00135224" w:rsidRDefault="003C7A38" w:rsidP="003C7A38">
      <w:pPr>
        <w:spacing w:line="360" w:lineRule="auto"/>
        <w:jc w:val="center"/>
        <w:rPr>
          <w:sz w:val="28"/>
          <w:szCs w:val="28"/>
          <w:lang w:val="uk-UA"/>
        </w:rPr>
      </w:pPr>
      <w:r>
        <w:rPr>
          <w:noProof/>
          <w:sz w:val="28"/>
          <w:szCs w:val="28"/>
          <w:lang w:eastAsia="ru-RU"/>
        </w:rPr>
        <w:drawing>
          <wp:inline distT="0" distB="0" distL="0" distR="0" wp14:anchorId="11EC2125" wp14:editId="2AC0400A">
            <wp:extent cx="4805680" cy="1403350"/>
            <wp:effectExtent l="0" t="0" r="0" b="635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pic:cNvPicPr>
                      <a:picLocks noChangeAspect="1" noChangeArrowheads="1"/>
                    </pic:cNvPicPr>
                  </pic:nvPicPr>
                  <pic:blipFill>
                    <a:blip r:embed="rId12">
                      <a:extLst>
                        <a:ext uri="{28A0092B-C50C-407E-A947-70E740481C1C}">
                          <a14:useLocalDpi xmlns:a14="http://schemas.microsoft.com/office/drawing/2010/main" val="0"/>
                        </a:ext>
                      </a:extLst>
                    </a:blip>
                    <a:srcRect l="32866" t="19391" r="19159" b="55675"/>
                    <a:stretch>
                      <a:fillRect/>
                    </a:stretch>
                  </pic:blipFill>
                  <pic:spPr bwMode="auto">
                    <a:xfrm>
                      <a:off x="0" y="0"/>
                      <a:ext cx="4805680" cy="1403350"/>
                    </a:xfrm>
                    <a:prstGeom prst="rect">
                      <a:avLst/>
                    </a:prstGeom>
                    <a:noFill/>
                    <a:ln>
                      <a:noFill/>
                    </a:ln>
                  </pic:spPr>
                </pic:pic>
              </a:graphicData>
            </a:graphic>
          </wp:inline>
        </w:drawing>
      </w:r>
    </w:p>
    <w:p w:rsidR="003C7A38" w:rsidRPr="00135224" w:rsidRDefault="003C7A38" w:rsidP="003C7A38">
      <w:pPr>
        <w:spacing w:line="360" w:lineRule="auto"/>
        <w:jc w:val="center"/>
        <w:rPr>
          <w:sz w:val="28"/>
          <w:szCs w:val="28"/>
          <w:lang w:val="uk-UA"/>
        </w:rPr>
      </w:pPr>
      <w:r w:rsidRPr="00135224">
        <w:rPr>
          <w:sz w:val="28"/>
          <w:szCs w:val="28"/>
          <w:lang w:val="uk-UA"/>
        </w:rPr>
        <w:t>Рис</w:t>
      </w:r>
      <w:r>
        <w:rPr>
          <w:sz w:val="28"/>
          <w:szCs w:val="28"/>
          <w:lang w:val="uk-UA"/>
        </w:rPr>
        <w:t xml:space="preserve"> 3</w:t>
      </w:r>
      <w:r w:rsidRPr="00135224">
        <w:rPr>
          <w:sz w:val="28"/>
          <w:szCs w:val="28"/>
          <w:lang w:val="uk-UA"/>
        </w:rPr>
        <w:t>. Розраховані показники рівняння регресії</w:t>
      </w:r>
    </w:p>
    <w:p w:rsidR="003C7A38" w:rsidRPr="00135224" w:rsidRDefault="003C7A38" w:rsidP="003C7A38">
      <w:pPr>
        <w:spacing w:line="360" w:lineRule="auto"/>
        <w:jc w:val="both"/>
        <w:rPr>
          <w:sz w:val="28"/>
          <w:szCs w:val="28"/>
          <w:lang w:val="uk-UA"/>
        </w:rPr>
      </w:pPr>
    </w:p>
    <w:p w:rsidR="003C7A38" w:rsidRPr="00135224" w:rsidRDefault="003C7A38" w:rsidP="003C7A38">
      <w:pPr>
        <w:spacing w:line="360" w:lineRule="auto"/>
        <w:ind w:firstLine="708"/>
        <w:jc w:val="both"/>
        <w:rPr>
          <w:sz w:val="28"/>
          <w:szCs w:val="28"/>
          <w:lang w:val="uk-UA"/>
        </w:rPr>
      </w:pPr>
      <w:r w:rsidRPr="00135224">
        <w:rPr>
          <w:sz w:val="28"/>
          <w:szCs w:val="28"/>
          <w:lang w:val="uk-UA"/>
        </w:rPr>
        <w:t xml:space="preserve">Не зважаючи на проведений відбір факторів, в рівнянні регресії виявився статистично незначущим параметр при факторі х1. Таким чином, побудуємо нове рівняння, включивши лише фактори х2 та х3.  Таким чином, отримуємо двофакторну модель, яка описує ВВП Латвії, що має наступний вигляд: </w:t>
      </w:r>
    </w:p>
    <w:p w:rsidR="003C7A38" w:rsidRPr="00135224" w:rsidRDefault="003C7A38" w:rsidP="003C7A38">
      <w:pPr>
        <w:spacing w:line="360" w:lineRule="auto"/>
        <w:jc w:val="center"/>
        <w:rPr>
          <w:sz w:val="28"/>
          <w:szCs w:val="28"/>
          <w:lang w:val="ru-RU"/>
        </w:rPr>
      </w:pPr>
      <w:r w:rsidRPr="00135224">
        <w:rPr>
          <w:sz w:val="28"/>
          <w:szCs w:val="28"/>
        </w:rPr>
        <w:lastRenderedPageBreak/>
        <w:t>Y</w:t>
      </w:r>
      <w:r w:rsidRPr="00135224">
        <w:rPr>
          <w:sz w:val="28"/>
          <w:szCs w:val="28"/>
          <w:lang w:val="ru-RU"/>
        </w:rPr>
        <w:t>= -8128,49 +1,60 х1+149,45 х2</w:t>
      </w:r>
    </w:p>
    <w:p w:rsidR="003C7A38" w:rsidRPr="00135224" w:rsidRDefault="003C7A38" w:rsidP="003C7A38">
      <w:pPr>
        <w:spacing w:line="360" w:lineRule="auto"/>
        <w:jc w:val="center"/>
        <w:rPr>
          <w:sz w:val="28"/>
          <w:szCs w:val="28"/>
          <w:lang w:val="ru-RU"/>
        </w:rPr>
      </w:pPr>
      <w:r w:rsidRPr="00135224">
        <w:rPr>
          <w:sz w:val="28"/>
          <w:szCs w:val="28"/>
        </w:rPr>
        <w:t>R</w:t>
      </w:r>
      <w:r w:rsidRPr="00135224">
        <w:rPr>
          <w:sz w:val="28"/>
          <w:szCs w:val="28"/>
          <w:vertAlign w:val="superscript"/>
          <w:lang w:val="ru-RU"/>
        </w:rPr>
        <w:t>2</w:t>
      </w:r>
      <w:r w:rsidRPr="00135224">
        <w:rPr>
          <w:sz w:val="28"/>
          <w:szCs w:val="28"/>
          <w:lang w:val="ru-RU"/>
        </w:rPr>
        <w:t>=0, 993</w:t>
      </w:r>
      <w:r>
        <w:rPr>
          <w:sz w:val="28"/>
          <w:szCs w:val="28"/>
          <w:lang w:val="ru-RU"/>
        </w:rPr>
        <w:t xml:space="preserve">     (4)</w:t>
      </w:r>
    </w:p>
    <w:p w:rsidR="003C7A38" w:rsidRPr="00135224" w:rsidRDefault="003C7A38" w:rsidP="003C7A38">
      <w:pPr>
        <w:spacing w:line="360" w:lineRule="auto"/>
        <w:jc w:val="both"/>
        <w:rPr>
          <w:sz w:val="28"/>
          <w:szCs w:val="28"/>
          <w:lang w:val="uk-UA"/>
        </w:rPr>
      </w:pPr>
    </w:p>
    <w:p w:rsidR="003C7A38" w:rsidRPr="00135224" w:rsidRDefault="003C7A38" w:rsidP="003C7A38">
      <w:pPr>
        <w:spacing w:line="360" w:lineRule="auto"/>
        <w:jc w:val="both"/>
        <w:rPr>
          <w:sz w:val="28"/>
          <w:szCs w:val="28"/>
          <w:lang w:val="uk-UA"/>
        </w:rPr>
      </w:pPr>
      <w:r w:rsidRPr="00135224">
        <w:rPr>
          <w:sz w:val="28"/>
          <w:szCs w:val="28"/>
          <w:lang w:val="uk-UA"/>
        </w:rPr>
        <w:t xml:space="preserve">Рівняння регресії ВВП Литви можна представити наступний чином: </w:t>
      </w:r>
    </w:p>
    <w:p w:rsidR="003C7A38" w:rsidRPr="00135224" w:rsidRDefault="003C7A38" w:rsidP="003C7A38">
      <w:pPr>
        <w:spacing w:line="360" w:lineRule="auto"/>
        <w:jc w:val="center"/>
        <w:rPr>
          <w:sz w:val="28"/>
          <w:szCs w:val="28"/>
          <w:lang w:val="uk-UA"/>
        </w:rPr>
      </w:pPr>
      <w:r w:rsidRPr="00135224">
        <w:rPr>
          <w:sz w:val="28"/>
          <w:szCs w:val="28"/>
          <w:lang w:val="uk-UA"/>
        </w:rPr>
        <w:t>Y= 4905,480 + 0,018 х1+ 0, 590 х2 + 82,840 х5</w:t>
      </w:r>
    </w:p>
    <w:p w:rsidR="003C7A38" w:rsidRPr="00135224" w:rsidRDefault="003C7A38" w:rsidP="003C7A38">
      <w:pPr>
        <w:spacing w:line="360" w:lineRule="auto"/>
        <w:jc w:val="center"/>
        <w:rPr>
          <w:sz w:val="28"/>
          <w:szCs w:val="28"/>
          <w:lang w:val="uk-UA"/>
        </w:rPr>
      </w:pPr>
      <w:r w:rsidRPr="00135224">
        <w:rPr>
          <w:sz w:val="28"/>
          <w:szCs w:val="28"/>
        </w:rPr>
        <w:t>R</w:t>
      </w:r>
      <w:r w:rsidRPr="00135224">
        <w:rPr>
          <w:sz w:val="28"/>
          <w:szCs w:val="28"/>
          <w:vertAlign w:val="superscript"/>
          <w:lang w:val="ru-RU"/>
        </w:rPr>
        <w:t>2</w:t>
      </w:r>
      <w:r w:rsidRPr="00135224">
        <w:rPr>
          <w:sz w:val="28"/>
          <w:szCs w:val="28"/>
          <w:lang w:val="ru-RU"/>
        </w:rPr>
        <w:t>=</w:t>
      </w:r>
      <w:r w:rsidRPr="00135224">
        <w:rPr>
          <w:sz w:val="28"/>
          <w:szCs w:val="28"/>
          <w:lang w:val="uk-UA"/>
        </w:rPr>
        <w:t>0,972</w:t>
      </w:r>
      <w:r>
        <w:rPr>
          <w:sz w:val="28"/>
          <w:szCs w:val="28"/>
          <w:lang w:val="uk-UA"/>
        </w:rPr>
        <w:t xml:space="preserve">      (5)</w:t>
      </w:r>
    </w:p>
    <w:p w:rsidR="003C7A38" w:rsidRPr="00135224" w:rsidRDefault="003C7A38" w:rsidP="003C7A38">
      <w:pPr>
        <w:spacing w:line="360" w:lineRule="auto"/>
        <w:jc w:val="both"/>
        <w:rPr>
          <w:noProof/>
          <w:sz w:val="28"/>
          <w:szCs w:val="28"/>
          <w:lang w:val="uk-UA" w:eastAsia="uk-UA"/>
        </w:rPr>
      </w:pPr>
    </w:p>
    <w:p w:rsidR="003C7A38" w:rsidRPr="00135224" w:rsidRDefault="003C7A38" w:rsidP="003C7A38">
      <w:pPr>
        <w:spacing w:line="360" w:lineRule="auto"/>
        <w:jc w:val="center"/>
        <w:rPr>
          <w:sz w:val="28"/>
          <w:szCs w:val="28"/>
          <w:lang w:val="uk-UA"/>
        </w:rPr>
      </w:pPr>
      <w:r>
        <w:rPr>
          <w:noProof/>
          <w:sz w:val="28"/>
          <w:szCs w:val="28"/>
          <w:lang w:eastAsia="ru-RU"/>
        </w:rPr>
        <w:drawing>
          <wp:inline distT="0" distB="0" distL="0" distR="0" wp14:anchorId="2C6590EE" wp14:editId="4F75D75F">
            <wp:extent cx="5199380" cy="1201420"/>
            <wp:effectExtent l="0" t="0" r="127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13">
                      <a:extLst>
                        <a:ext uri="{28A0092B-C50C-407E-A947-70E740481C1C}">
                          <a14:useLocalDpi xmlns:a14="http://schemas.microsoft.com/office/drawing/2010/main" val="0"/>
                        </a:ext>
                      </a:extLst>
                    </a:blip>
                    <a:srcRect l="32710" t="19113" r="9969" b="57336"/>
                    <a:stretch>
                      <a:fillRect/>
                    </a:stretch>
                  </pic:blipFill>
                  <pic:spPr bwMode="auto">
                    <a:xfrm>
                      <a:off x="0" y="0"/>
                      <a:ext cx="5199380" cy="1201420"/>
                    </a:xfrm>
                    <a:prstGeom prst="rect">
                      <a:avLst/>
                    </a:prstGeom>
                    <a:noFill/>
                    <a:ln>
                      <a:noFill/>
                    </a:ln>
                  </pic:spPr>
                </pic:pic>
              </a:graphicData>
            </a:graphic>
          </wp:inline>
        </w:drawing>
      </w:r>
    </w:p>
    <w:p w:rsidR="003C7A38" w:rsidRPr="00135224" w:rsidRDefault="003C7A38" w:rsidP="003C7A38">
      <w:pPr>
        <w:spacing w:line="360" w:lineRule="auto"/>
        <w:jc w:val="center"/>
        <w:rPr>
          <w:sz w:val="28"/>
          <w:szCs w:val="28"/>
          <w:lang w:val="uk-UA"/>
        </w:rPr>
      </w:pPr>
      <w:r w:rsidRPr="00135224">
        <w:rPr>
          <w:sz w:val="28"/>
          <w:szCs w:val="28"/>
          <w:lang w:val="uk-UA"/>
        </w:rPr>
        <w:t>Рис</w:t>
      </w:r>
      <w:r>
        <w:rPr>
          <w:sz w:val="28"/>
          <w:szCs w:val="28"/>
          <w:lang w:val="uk-UA"/>
        </w:rPr>
        <w:t xml:space="preserve"> 4</w:t>
      </w:r>
      <w:r w:rsidRPr="00135224">
        <w:rPr>
          <w:sz w:val="28"/>
          <w:szCs w:val="28"/>
          <w:lang w:val="uk-UA"/>
        </w:rPr>
        <w:t>. Розраховані показники рівняння регресії</w:t>
      </w:r>
    </w:p>
    <w:p w:rsidR="003C7A38" w:rsidRPr="00135224" w:rsidRDefault="003C7A38" w:rsidP="003C7A38">
      <w:pPr>
        <w:spacing w:line="360" w:lineRule="auto"/>
        <w:jc w:val="both"/>
        <w:rPr>
          <w:sz w:val="28"/>
          <w:szCs w:val="28"/>
          <w:lang w:val="uk-UA"/>
        </w:rPr>
      </w:pPr>
    </w:p>
    <w:p w:rsidR="003C7A38" w:rsidRPr="00135224" w:rsidRDefault="003C7A38" w:rsidP="003C7A38">
      <w:pPr>
        <w:spacing w:line="360" w:lineRule="auto"/>
        <w:ind w:firstLine="708"/>
        <w:jc w:val="both"/>
        <w:rPr>
          <w:sz w:val="28"/>
          <w:szCs w:val="28"/>
          <w:lang w:val="uk-UA"/>
        </w:rPr>
      </w:pPr>
      <w:r w:rsidRPr="00135224">
        <w:rPr>
          <w:sz w:val="28"/>
          <w:szCs w:val="28"/>
          <w:lang w:val="uk-UA"/>
        </w:rPr>
        <w:t>Однак, в рівнянні регресії найвищу статистичну значущість показав фактор х5 – державні витрати на наукові дослідження та розробки, показник часткової кореляції якого дорівнює 82,01%, тоді як часткова кореляція фактору х2 (валове нагромадження основного капіталу) склала 62,3%, а фактору х1 (експорт товарів та послуг) – 0,35%, саме тому доречно вивести незначущий фактор х1 з моделі. Побудувавши нове рівняння регресії, в яке увійшли фактори х2 та х5, отримуємо двофакторну модель, яка описує ВВП Литви:</w:t>
      </w:r>
    </w:p>
    <w:p w:rsidR="003C7A38" w:rsidRPr="00135224" w:rsidRDefault="003C7A38" w:rsidP="003C7A38">
      <w:pPr>
        <w:spacing w:line="360" w:lineRule="auto"/>
        <w:jc w:val="center"/>
        <w:rPr>
          <w:sz w:val="28"/>
          <w:szCs w:val="28"/>
          <w:lang w:val="uk-UA"/>
        </w:rPr>
      </w:pPr>
      <w:r w:rsidRPr="00135224">
        <w:rPr>
          <w:sz w:val="28"/>
          <w:szCs w:val="28"/>
          <w:lang w:val="uk-UA"/>
        </w:rPr>
        <w:t>Y= 4860,270 + 0,575 х2+ 84,812 х5</w:t>
      </w:r>
    </w:p>
    <w:p w:rsidR="003C7A38" w:rsidRPr="00135224" w:rsidRDefault="003C7A38" w:rsidP="003C7A38">
      <w:pPr>
        <w:spacing w:line="360" w:lineRule="auto"/>
        <w:ind w:firstLine="708"/>
        <w:jc w:val="center"/>
        <w:rPr>
          <w:sz w:val="28"/>
          <w:szCs w:val="28"/>
          <w:lang w:val="uk-UA"/>
        </w:rPr>
      </w:pPr>
      <w:r w:rsidRPr="00135224">
        <w:rPr>
          <w:sz w:val="28"/>
          <w:szCs w:val="28"/>
        </w:rPr>
        <w:t>R</w:t>
      </w:r>
      <w:r w:rsidRPr="00135224">
        <w:rPr>
          <w:sz w:val="28"/>
          <w:szCs w:val="28"/>
          <w:vertAlign w:val="superscript"/>
          <w:lang w:val="ru-RU"/>
        </w:rPr>
        <w:t>2</w:t>
      </w:r>
      <w:r w:rsidRPr="00135224">
        <w:rPr>
          <w:sz w:val="28"/>
          <w:szCs w:val="28"/>
          <w:lang w:val="ru-RU"/>
        </w:rPr>
        <w:t>=</w:t>
      </w:r>
      <w:r w:rsidRPr="00135224">
        <w:rPr>
          <w:sz w:val="28"/>
          <w:szCs w:val="28"/>
          <w:lang w:val="uk-UA"/>
        </w:rPr>
        <w:t>0,972</w:t>
      </w:r>
      <w:r>
        <w:rPr>
          <w:sz w:val="28"/>
          <w:szCs w:val="28"/>
          <w:lang w:val="uk-UA"/>
        </w:rPr>
        <w:t xml:space="preserve">   (6)</w:t>
      </w:r>
    </w:p>
    <w:p w:rsidR="003C7A38" w:rsidRPr="00135224" w:rsidRDefault="003C7A38" w:rsidP="003C7A38">
      <w:pPr>
        <w:spacing w:line="360" w:lineRule="auto"/>
        <w:ind w:firstLine="708"/>
        <w:jc w:val="both"/>
        <w:rPr>
          <w:sz w:val="28"/>
          <w:szCs w:val="28"/>
          <w:lang w:val="uk-UA"/>
        </w:rPr>
      </w:pPr>
      <w:r w:rsidRPr="00135224">
        <w:rPr>
          <w:sz w:val="28"/>
          <w:szCs w:val="28"/>
          <w:lang w:val="uk-UA"/>
        </w:rPr>
        <w:t xml:space="preserve">Отже, можна зробити висновок, що варіація показника ВВП Латвії  на 99,3% пояснюється варіацією показника валового нагромадження основного капіталу (х2) та рівня інфляції в країні (х3), а варіація показника ВВП Литви на 97,2% пояснюється варіацією показника державних витрат на наукові дослідження та розробки (х5) та варіацією показника валового нагромадження основного капіталу (х2). Таким чином, для обох досліджуваних країн,  характерна суттєва залежність зміни обсягів ВВП від показника валового нагромадження основного капіталу, що є вкладенням коштів в основний </w:t>
      </w:r>
      <w:r w:rsidRPr="00135224">
        <w:rPr>
          <w:sz w:val="28"/>
          <w:szCs w:val="28"/>
          <w:lang w:val="uk-UA"/>
        </w:rPr>
        <w:lastRenderedPageBreak/>
        <w:t>капітал з метою розширення обсягів виробництва та привласнення вищих прибутків [</w:t>
      </w:r>
      <w:r w:rsidR="005A0E42">
        <w:rPr>
          <w:sz w:val="28"/>
          <w:szCs w:val="28"/>
          <w:lang w:val="uk-UA"/>
        </w:rPr>
        <w:t>1</w:t>
      </w:r>
      <w:r w:rsidRPr="00135224">
        <w:rPr>
          <w:sz w:val="28"/>
          <w:szCs w:val="28"/>
          <w:lang w:val="uk-UA"/>
        </w:rPr>
        <w:t xml:space="preserve">]. Однак, динаміка ВВП Латвії суттєво пояснюється також показником інфляції в країні, коли в Литві найвагомішим фактором впливу на ВВП є показник державних видатків на наукові розробки. Така тенденція пояснюється тим, що економіка Литви займає більш потужні позиції, ніж економіка Латвії, що підтверджується аналітичними даними дослідження основних економічних показників, які в Литві є вищими. </w:t>
      </w:r>
    </w:p>
    <w:p w:rsidR="003C7A38" w:rsidRPr="003F0E84" w:rsidRDefault="003C7A38" w:rsidP="003C7A38">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360" w:lineRule="auto"/>
        <w:jc w:val="both"/>
        <w:rPr>
          <w:rFonts w:ascii="Times New Roman" w:hAnsi="Times New Roman" w:cs="Times New Roman"/>
          <w:sz w:val="28"/>
          <w:szCs w:val="28"/>
        </w:rPr>
      </w:pPr>
    </w:p>
    <w:p w:rsidR="003C7A38" w:rsidRPr="003F0E84" w:rsidRDefault="003C7A38" w:rsidP="003C7A38">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360" w:lineRule="auto"/>
        <w:jc w:val="both"/>
        <w:rPr>
          <w:rFonts w:ascii="Times New Roman" w:hAnsi="Times New Roman" w:cs="Times New Roman"/>
          <w:b/>
          <w:sz w:val="28"/>
          <w:szCs w:val="28"/>
          <w:lang w:val="ru-RU"/>
        </w:rPr>
      </w:pPr>
      <w:proofErr w:type="spellStart"/>
      <w:r w:rsidRPr="003F0E84">
        <w:rPr>
          <w:rFonts w:ascii="Times New Roman" w:hAnsi="Times New Roman" w:cs="Times New Roman"/>
          <w:b/>
          <w:sz w:val="28"/>
          <w:szCs w:val="28"/>
          <w:lang w:val="ru-RU"/>
        </w:rPr>
        <w:t>Висновки</w:t>
      </w:r>
      <w:proofErr w:type="spellEnd"/>
      <w:r w:rsidRPr="003F0E84">
        <w:rPr>
          <w:rFonts w:ascii="Times New Roman" w:hAnsi="Times New Roman" w:cs="Times New Roman"/>
          <w:b/>
          <w:sz w:val="28"/>
          <w:szCs w:val="28"/>
          <w:lang w:val="ru-RU"/>
        </w:rPr>
        <w:t xml:space="preserve">: </w:t>
      </w:r>
    </w:p>
    <w:p w:rsidR="003164DE" w:rsidRDefault="005A0E42" w:rsidP="003C7A38">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360" w:lineRule="auto"/>
        <w:jc w:val="both"/>
        <w:rPr>
          <w:rFonts w:ascii="Times New Roman" w:hAnsi="Times New Roman" w:cs="Times New Roman"/>
          <w:sz w:val="28"/>
          <w:szCs w:val="28"/>
        </w:rPr>
      </w:pPr>
      <w:r>
        <w:rPr>
          <w:rFonts w:ascii="Times New Roman" w:hAnsi="Times New Roman" w:cs="Times New Roman"/>
          <w:sz w:val="28"/>
          <w:szCs w:val="28"/>
        </w:rPr>
        <w:tab/>
      </w:r>
      <w:r w:rsidR="003C7A38">
        <w:rPr>
          <w:rFonts w:ascii="Times New Roman" w:hAnsi="Times New Roman" w:cs="Times New Roman"/>
          <w:sz w:val="28"/>
          <w:szCs w:val="28"/>
        </w:rPr>
        <w:t xml:space="preserve">Таким чином, можна стверджувати, що під час європейської інтеграції, колишні країни Радянського Союзу – Латвія та Литва мали стрімко зростаючу економіку, що не відрізнялася кризовими та шоковими явищами. На противагу даним країнам, Україна, яка на разі стоїть на шляху євроінтеграції, характеризується  іншими економічними тенденціями, що може стати приводом, як більш довгого процесу входження чи асоціації України з ЄС, так і спровокувати довготривалі настійливі та кризові явища в економіці країни. </w:t>
      </w:r>
    </w:p>
    <w:p w:rsidR="005A0E42" w:rsidRDefault="005A0E42" w:rsidP="003C7A38">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360" w:lineRule="auto"/>
        <w:jc w:val="both"/>
        <w:rPr>
          <w:rFonts w:ascii="Times New Roman" w:hAnsi="Times New Roman" w:cs="Times New Roman"/>
          <w:sz w:val="28"/>
          <w:szCs w:val="28"/>
        </w:rPr>
      </w:pPr>
      <w:r>
        <w:rPr>
          <w:rFonts w:ascii="Times New Roman" w:hAnsi="Times New Roman" w:cs="Times New Roman"/>
          <w:sz w:val="28"/>
          <w:szCs w:val="28"/>
        </w:rPr>
        <w:tab/>
        <w:t xml:space="preserve">Анаіз динаміки ВВП, показує, що за час членства досліджуваних країн в ЄС, показник ВВП стабільно зростав, зумовлючи стабільний розвиток економіки до періоду світової економічної кризи 2007 – 2009 р.р., однак вже у 2010 році в обох країнах спостерігалося суттєве економічне піднесення, що триває до кризового для ЄС 2013 року. Однак побудовані у ході дослідження даної проблеми прогнози та експертні свідчення представників Європейської Комісії свідчать про вірогідну стабілізацію економічної ситуації та подальше економічне піднесення, як в Латвії та Литві, так і в інших країнах ЄС. </w:t>
      </w:r>
    </w:p>
    <w:p w:rsidR="003F0E84" w:rsidRPr="00E35D41" w:rsidRDefault="005A0E42" w:rsidP="00E35D41">
      <w:pPr>
        <w:spacing w:line="360" w:lineRule="auto"/>
        <w:jc w:val="both"/>
        <w:rPr>
          <w:sz w:val="28"/>
          <w:szCs w:val="28"/>
          <w:lang w:val="uk-UA"/>
        </w:rPr>
      </w:pPr>
      <w:r>
        <w:rPr>
          <w:sz w:val="28"/>
          <w:szCs w:val="28"/>
        </w:rPr>
        <w:tab/>
      </w:r>
      <w:r w:rsidR="003C7A38">
        <w:rPr>
          <w:sz w:val="28"/>
          <w:szCs w:val="28"/>
        </w:rPr>
        <w:t xml:space="preserve">Дослідження множинної кореляції залежності ВВП від економічних </w:t>
      </w:r>
      <w:r w:rsidR="00E35D41">
        <w:rPr>
          <w:sz w:val="28"/>
          <w:szCs w:val="28"/>
        </w:rPr>
        <w:t>факторів (</w:t>
      </w:r>
      <w:r w:rsidR="00E35D41" w:rsidRPr="00135224">
        <w:rPr>
          <w:sz w:val="28"/>
          <w:szCs w:val="28"/>
          <w:lang w:val="uk-UA"/>
        </w:rPr>
        <w:t>показник експорту товарів та послуг в країні;</w:t>
      </w:r>
      <w:r w:rsidR="00E35D41">
        <w:rPr>
          <w:sz w:val="28"/>
          <w:szCs w:val="28"/>
          <w:lang w:val="uk-UA"/>
        </w:rPr>
        <w:t xml:space="preserve"> </w:t>
      </w:r>
      <w:r w:rsidR="00E35D41" w:rsidRPr="00135224">
        <w:rPr>
          <w:sz w:val="28"/>
          <w:szCs w:val="28"/>
          <w:lang w:val="uk-UA"/>
        </w:rPr>
        <w:t>показник валового н</w:t>
      </w:r>
      <w:r w:rsidR="00E35D41">
        <w:rPr>
          <w:sz w:val="28"/>
          <w:szCs w:val="28"/>
          <w:lang w:val="uk-UA"/>
        </w:rPr>
        <w:t xml:space="preserve">агромадження основного капіталу; </w:t>
      </w:r>
      <w:r w:rsidR="00E35D41" w:rsidRPr="00135224">
        <w:rPr>
          <w:sz w:val="28"/>
          <w:szCs w:val="28"/>
          <w:lang w:val="uk-UA"/>
        </w:rPr>
        <w:t>рівень інфляції в країні</w:t>
      </w:r>
      <w:proofErr w:type="gramStart"/>
      <w:r w:rsidR="00E35D41" w:rsidRPr="00135224">
        <w:rPr>
          <w:sz w:val="28"/>
          <w:szCs w:val="28"/>
          <w:lang w:val="uk-UA"/>
        </w:rPr>
        <w:t>;</w:t>
      </w:r>
      <w:r w:rsidR="00E35D41">
        <w:rPr>
          <w:sz w:val="28"/>
          <w:szCs w:val="28"/>
          <w:lang w:val="uk-UA"/>
        </w:rPr>
        <w:t>о</w:t>
      </w:r>
      <w:r w:rsidR="00E35D41" w:rsidRPr="00135224">
        <w:rPr>
          <w:sz w:val="28"/>
          <w:szCs w:val="28"/>
          <w:lang w:val="uk-UA"/>
        </w:rPr>
        <w:t>бсяг</w:t>
      </w:r>
      <w:proofErr w:type="gramEnd"/>
      <w:r w:rsidR="00E35D41" w:rsidRPr="00135224">
        <w:rPr>
          <w:sz w:val="28"/>
          <w:szCs w:val="28"/>
          <w:lang w:val="uk-UA"/>
        </w:rPr>
        <w:t xml:space="preserve"> внутрішнього боргу;</w:t>
      </w:r>
      <w:r w:rsidR="00E35D41">
        <w:rPr>
          <w:sz w:val="28"/>
          <w:szCs w:val="28"/>
          <w:lang w:val="uk-UA"/>
        </w:rPr>
        <w:t xml:space="preserve"> д</w:t>
      </w:r>
      <w:r w:rsidR="00E35D41" w:rsidRPr="00135224">
        <w:rPr>
          <w:sz w:val="28"/>
          <w:szCs w:val="28"/>
          <w:lang w:val="uk-UA"/>
        </w:rPr>
        <w:t xml:space="preserve">ержавні витрати на </w:t>
      </w:r>
      <w:r w:rsidR="00E35D41">
        <w:rPr>
          <w:sz w:val="28"/>
          <w:szCs w:val="28"/>
          <w:lang w:val="uk-UA"/>
        </w:rPr>
        <w:t>наукові дослідження та розробки; к</w:t>
      </w:r>
      <w:r w:rsidR="00E35D41" w:rsidRPr="00135224">
        <w:rPr>
          <w:sz w:val="28"/>
          <w:szCs w:val="28"/>
          <w:lang w:val="uk-UA"/>
        </w:rPr>
        <w:t>ількість зайнятого населення в країні;</w:t>
      </w:r>
      <w:r w:rsidR="00E35D41">
        <w:rPr>
          <w:sz w:val="28"/>
          <w:szCs w:val="28"/>
          <w:lang w:val="uk-UA"/>
        </w:rPr>
        <w:t xml:space="preserve"> к</w:t>
      </w:r>
      <w:r w:rsidR="00E35D41" w:rsidRPr="00135224">
        <w:rPr>
          <w:sz w:val="28"/>
          <w:szCs w:val="28"/>
          <w:lang w:val="uk-UA"/>
        </w:rPr>
        <w:t>ількість н</w:t>
      </w:r>
      <w:r w:rsidR="00E35D41">
        <w:rPr>
          <w:sz w:val="28"/>
          <w:szCs w:val="28"/>
          <w:lang w:val="uk-UA"/>
        </w:rPr>
        <w:t>е зайнятого населення в країні)</w:t>
      </w:r>
      <w:r w:rsidR="003C7A38">
        <w:rPr>
          <w:sz w:val="28"/>
          <w:szCs w:val="28"/>
        </w:rPr>
        <w:t xml:space="preserve">, показало, що на </w:t>
      </w:r>
      <w:proofErr w:type="spellStart"/>
      <w:r w:rsidR="00E35D41">
        <w:rPr>
          <w:sz w:val="28"/>
          <w:szCs w:val="28"/>
        </w:rPr>
        <w:t>динаміку</w:t>
      </w:r>
      <w:proofErr w:type="spellEnd"/>
      <w:r w:rsidR="003C7A38">
        <w:rPr>
          <w:sz w:val="28"/>
          <w:szCs w:val="28"/>
        </w:rPr>
        <w:t xml:space="preserve"> ВВП, як </w:t>
      </w:r>
      <w:proofErr w:type="spellStart"/>
      <w:r w:rsidR="003C7A38">
        <w:rPr>
          <w:sz w:val="28"/>
          <w:szCs w:val="28"/>
        </w:rPr>
        <w:t>Латвії</w:t>
      </w:r>
      <w:proofErr w:type="spellEnd"/>
      <w:r w:rsidR="00E35D41">
        <w:rPr>
          <w:sz w:val="28"/>
          <w:szCs w:val="28"/>
        </w:rPr>
        <w:t>,</w:t>
      </w:r>
      <w:r w:rsidR="003C7A38">
        <w:rPr>
          <w:sz w:val="28"/>
          <w:szCs w:val="28"/>
        </w:rPr>
        <w:t xml:space="preserve"> так і Литви  має сильний вплив </w:t>
      </w:r>
      <w:r w:rsidR="003C7A38">
        <w:rPr>
          <w:sz w:val="28"/>
          <w:szCs w:val="28"/>
        </w:rPr>
        <w:lastRenderedPageBreak/>
        <w:t xml:space="preserve">показник валового нагромадження основного капіталу, що з економічної точки зору є закономірним явищем, адже даний показник характеризує процеси розширення виробничих потужностей та вкладення коштів в розширення виробничого потенціалу країни, що має вихід у збільшенні виробленої продукції в країні та ВВП відповідно. Проте окрім показника валового нагромадження основного капіталу на формування та динаміку ВВП </w:t>
      </w:r>
      <w:r w:rsidR="000501B4">
        <w:rPr>
          <w:sz w:val="28"/>
          <w:szCs w:val="28"/>
        </w:rPr>
        <w:t xml:space="preserve">досліджуваних країн впливають й інші фактори. </w:t>
      </w:r>
      <w:proofErr w:type="gramStart"/>
      <w:r w:rsidR="000501B4">
        <w:rPr>
          <w:sz w:val="28"/>
          <w:szCs w:val="28"/>
        </w:rPr>
        <w:t>Так, ВВП Латвії тісно корелює та може бути поясненим зміною показника інфляції в країні, а ВВП Литви тісно залежить від державних видатків на н</w:t>
      </w:r>
      <w:r w:rsidR="003F0E84">
        <w:rPr>
          <w:sz w:val="28"/>
          <w:szCs w:val="28"/>
        </w:rPr>
        <w:t xml:space="preserve">аукові дослідження та </w:t>
      </w:r>
      <w:proofErr w:type="spellStart"/>
      <w:r w:rsidR="003F0E84">
        <w:rPr>
          <w:sz w:val="28"/>
          <w:szCs w:val="28"/>
        </w:rPr>
        <w:t>розробки</w:t>
      </w:r>
      <w:proofErr w:type="spellEnd"/>
      <w:r w:rsidR="00E35D41">
        <w:rPr>
          <w:sz w:val="28"/>
          <w:szCs w:val="28"/>
        </w:rPr>
        <w:t>.</w:t>
      </w:r>
      <w:proofErr w:type="gramEnd"/>
      <w:r w:rsidR="00E35D41">
        <w:rPr>
          <w:sz w:val="28"/>
          <w:szCs w:val="28"/>
        </w:rPr>
        <w:t xml:space="preserve">  </w:t>
      </w:r>
      <w:r w:rsidR="003F0E84">
        <w:rPr>
          <w:sz w:val="28"/>
          <w:szCs w:val="28"/>
        </w:rPr>
        <w:t xml:space="preserve"> </w:t>
      </w:r>
      <w:bookmarkStart w:id="0" w:name="_GoBack"/>
      <w:bookmarkEnd w:id="0"/>
    </w:p>
    <w:p w:rsidR="003164DE" w:rsidRDefault="003164DE" w:rsidP="009B15F5">
      <w:pPr>
        <w:pStyle w:val="a3"/>
        <w:shd w:val="clear" w:color="auto" w:fill="FDFEFF"/>
        <w:spacing w:before="150" w:beforeAutospacing="0" w:after="225" w:afterAutospacing="0" w:line="360" w:lineRule="auto"/>
        <w:jc w:val="both"/>
        <w:rPr>
          <w:sz w:val="28"/>
          <w:szCs w:val="28"/>
        </w:rPr>
      </w:pPr>
    </w:p>
    <w:p w:rsidR="003F0E84" w:rsidRPr="009B15F5" w:rsidRDefault="003F0E84" w:rsidP="009B15F5">
      <w:pPr>
        <w:pStyle w:val="a3"/>
        <w:shd w:val="clear" w:color="auto" w:fill="FDFEFF"/>
        <w:spacing w:before="150" w:beforeAutospacing="0" w:after="225" w:afterAutospacing="0" w:line="360" w:lineRule="auto"/>
        <w:jc w:val="both"/>
        <w:rPr>
          <w:sz w:val="28"/>
          <w:szCs w:val="28"/>
        </w:rPr>
      </w:pPr>
      <w:r w:rsidRPr="009B15F5">
        <w:rPr>
          <w:sz w:val="28"/>
          <w:szCs w:val="28"/>
        </w:rPr>
        <w:t xml:space="preserve">Список використаних літературних джерел: </w:t>
      </w:r>
    </w:p>
    <w:p w:rsidR="003F0E84" w:rsidRPr="009B15F5" w:rsidRDefault="003F0E84" w:rsidP="009B15F5">
      <w:pPr>
        <w:pStyle w:val="a3"/>
        <w:shd w:val="clear" w:color="auto" w:fill="FDFEFF"/>
        <w:spacing w:before="150" w:beforeAutospacing="0" w:after="225" w:afterAutospacing="0" w:line="360" w:lineRule="auto"/>
        <w:jc w:val="both"/>
        <w:rPr>
          <w:sz w:val="28"/>
          <w:szCs w:val="28"/>
        </w:rPr>
      </w:pPr>
    </w:p>
    <w:p w:rsidR="003C7A38" w:rsidRPr="009B15F5" w:rsidRDefault="003C7A38" w:rsidP="009B15F5">
      <w:pPr>
        <w:pStyle w:val="a3"/>
        <w:numPr>
          <w:ilvl w:val="0"/>
          <w:numId w:val="1"/>
        </w:numPr>
        <w:shd w:val="clear" w:color="auto" w:fill="FDFEFF"/>
        <w:spacing w:before="150" w:beforeAutospacing="0" w:after="225" w:afterAutospacing="0" w:line="360" w:lineRule="auto"/>
        <w:jc w:val="both"/>
        <w:rPr>
          <w:sz w:val="28"/>
          <w:szCs w:val="28"/>
        </w:rPr>
      </w:pPr>
      <w:r w:rsidRPr="009B15F5">
        <w:rPr>
          <w:sz w:val="28"/>
          <w:szCs w:val="28"/>
        </w:rPr>
        <w:t>Економічна енциклопедія: У трьох томах. Т. 2. / Редкол.: …С. В. Мочерний (відп. ред.) та ін. – К.: Видавничий центр “Академія”, 2000. – 864 с.</w:t>
      </w:r>
    </w:p>
    <w:p w:rsidR="003F0E84" w:rsidRPr="009B15F5" w:rsidRDefault="003F0E84" w:rsidP="009B15F5">
      <w:pPr>
        <w:pStyle w:val="a6"/>
        <w:numPr>
          <w:ilvl w:val="0"/>
          <w:numId w:val="1"/>
        </w:numPr>
        <w:shd w:val="clear" w:color="auto" w:fill="FFFFFF"/>
        <w:spacing w:line="360" w:lineRule="auto"/>
        <w:jc w:val="both"/>
        <w:rPr>
          <w:sz w:val="28"/>
          <w:szCs w:val="28"/>
          <w:lang w:val="ru-RU"/>
        </w:rPr>
      </w:pPr>
      <w:r w:rsidRPr="009B15F5">
        <w:rPr>
          <w:sz w:val="28"/>
          <w:szCs w:val="28"/>
          <w:lang w:val="ru-RU"/>
        </w:rPr>
        <w:t xml:space="preserve">Куприенко Н. В. </w:t>
      </w:r>
      <w:r w:rsidRPr="009B15F5">
        <w:rPr>
          <w:bCs/>
          <w:sz w:val="28"/>
          <w:szCs w:val="28"/>
          <w:lang w:val="ru-RU"/>
        </w:rPr>
        <w:t>Статистические методы изучения связей. Корреляционно-регрессионный анализ:</w:t>
      </w:r>
      <w:r w:rsidRPr="009B15F5">
        <w:rPr>
          <w:b/>
          <w:bCs/>
          <w:sz w:val="28"/>
          <w:szCs w:val="28"/>
          <w:lang w:val="ru-RU"/>
        </w:rPr>
        <w:t xml:space="preserve"> </w:t>
      </w:r>
      <w:r w:rsidRPr="009B15F5">
        <w:rPr>
          <w:sz w:val="28"/>
          <w:szCs w:val="28"/>
          <w:lang w:val="ru-RU"/>
        </w:rPr>
        <w:t xml:space="preserve">учеб. пособие </w:t>
      </w:r>
      <w:r w:rsidRPr="009B15F5">
        <w:rPr>
          <w:b/>
          <w:bCs/>
          <w:sz w:val="28"/>
          <w:szCs w:val="28"/>
          <w:lang w:val="ru-RU"/>
        </w:rPr>
        <w:t xml:space="preserve">/ </w:t>
      </w:r>
      <w:r w:rsidRPr="009B15F5">
        <w:rPr>
          <w:sz w:val="28"/>
          <w:szCs w:val="28"/>
          <w:lang w:val="ru-RU"/>
        </w:rPr>
        <w:t>Н. В. Ку-</w:t>
      </w:r>
      <w:proofErr w:type="spellStart"/>
      <w:r w:rsidRPr="009B15F5">
        <w:rPr>
          <w:sz w:val="28"/>
          <w:szCs w:val="28"/>
          <w:lang w:val="ru-RU"/>
        </w:rPr>
        <w:t>приенко</w:t>
      </w:r>
      <w:proofErr w:type="spellEnd"/>
      <w:r w:rsidRPr="009B15F5">
        <w:rPr>
          <w:sz w:val="28"/>
          <w:szCs w:val="28"/>
          <w:lang w:val="ru-RU"/>
        </w:rPr>
        <w:t xml:space="preserve">, О. А. Пономарева, Д. В. Тихонов. – СПб. : Изд-во </w:t>
      </w:r>
      <w:proofErr w:type="spellStart"/>
      <w:r w:rsidRPr="009B15F5">
        <w:rPr>
          <w:sz w:val="28"/>
          <w:szCs w:val="28"/>
          <w:lang w:val="ru-RU"/>
        </w:rPr>
        <w:t>Политехн</w:t>
      </w:r>
      <w:proofErr w:type="spellEnd"/>
      <w:r w:rsidRPr="009B15F5">
        <w:rPr>
          <w:sz w:val="28"/>
          <w:szCs w:val="28"/>
          <w:lang w:val="ru-RU"/>
        </w:rPr>
        <w:t>. ун-та, 2009. – 116 с.</w:t>
      </w:r>
    </w:p>
    <w:p w:rsidR="009B15F5" w:rsidRPr="009B15F5" w:rsidRDefault="009B15F5" w:rsidP="009B15F5">
      <w:pPr>
        <w:pStyle w:val="a6"/>
        <w:numPr>
          <w:ilvl w:val="0"/>
          <w:numId w:val="1"/>
        </w:numPr>
        <w:shd w:val="clear" w:color="auto" w:fill="FFFFFF"/>
        <w:spacing w:line="360" w:lineRule="auto"/>
        <w:jc w:val="both"/>
        <w:rPr>
          <w:sz w:val="28"/>
          <w:szCs w:val="28"/>
          <w:lang w:val="ru-RU"/>
        </w:rPr>
      </w:pPr>
      <w:r w:rsidRPr="009B15F5">
        <w:rPr>
          <w:sz w:val="28"/>
          <w:szCs w:val="28"/>
        </w:rPr>
        <w:t xml:space="preserve">EUROPEAN COMMISSION. EUROSTAT. </w:t>
      </w:r>
      <w:r w:rsidRPr="009B15F5">
        <w:rPr>
          <w:sz w:val="28"/>
          <w:szCs w:val="28"/>
          <w:lang w:val="uk-UA"/>
        </w:rPr>
        <w:t xml:space="preserve">Електронний ресурс/ адреса доступу: </w:t>
      </w:r>
      <w:hyperlink r:id="rId14" w:history="1">
        <w:r w:rsidRPr="009B15F5">
          <w:rPr>
            <w:rStyle w:val="a7"/>
            <w:sz w:val="28"/>
            <w:szCs w:val="28"/>
            <w:lang w:val="uk-UA"/>
          </w:rPr>
          <w:t>http://epp.eurostat.ec.europa.eu/</w:t>
        </w:r>
      </w:hyperlink>
    </w:p>
    <w:p w:rsidR="009B15F5" w:rsidRPr="009B15F5" w:rsidRDefault="009B15F5" w:rsidP="009B15F5">
      <w:pPr>
        <w:pStyle w:val="a6"/>
        <w:numPr>
          <w:ilvl w:val="0"/>
          <w:numId w:val="1"/>
        </w:numPr>
        <w:shd w:val="clear" w:color="auto" w:fill="FFFFFF"/>
        <w:spacing w:line="360" w:lineRule="auto"/>
        <w:jc w:val="both"/>
        <w:rPr>
          <w:sz w:val="28"/>
          <w:szCs w:val="28"/>
        </w:rPr>
      </w:pPr>
      <w:r w:rsidRPr="009B15F5">
        <w:rPr>
          <w:sz w:val="28"/>
          <w:szCs w:val="28"/>
        </w:rPr>
        <w:t>EUROPEAN COMMISSION. EUROSTAT.</w:t>
      </w:r>
      <w:r w:rsidRPr="009B15F5">
        <w:rPr>
          <w:sz w:val="28"/>
          <w:szCs w:val="28"/>
          <w:lang w:val="uk-UA"/>
        </w:rPr>
        <w:t xml:space="preserve"> </w:t>
      </w:r>
      <w:r w:rsidRPr="009B15F5">
        <w:rPr>
          <w:noProof/>
          <w:sz w:val="28"/>
          <w:szCs w:val="28"/>
        </w:rPr>
        <w:t>Business and consumer survey results</w:t>
      </w:r>
      <w:r>
        <w:rPr>
          <w:noProof/>
          <w:sz w:val="28"/>
          <w:szCs w:val="28"/>
          <w:lang w:val="uk-UA"/>
        </w:rPr>
        <w:t xml:space="preserve"> </w:t>
      </w:r>
      <w:r w:rsidRPr="009B15F5">
        <w:rPr>
          <w:sz w:val="28"/>
          <w:szCs w:val="28"/>
          <w:lang w:val="uk-UA"/>
        </w:rPr>
        <w:t>Електронний ресурс/ адреса доступу: http://epp.eurostat.ec.europa.eu/</w:t>
      </w:r>
    </w:p>
    <w:p w:rsidR="003F0E84" w:rsidRPr="009B15F5" w:rsidRDefault="003F0E84" w:rsidP="009B15F5">
      <w:pPr>
        <w:pStyle w:val="a6"/>
        <w:shd w:val="clear" w:color="auto" w:fill="FFFFFF"/>
        <w:spacing w:line="230" w:lineRule="exact"/>
        <w:jc w:val="both"/>
      </w:pPr>
    </w:p>
    <w:p w:rsidR="003F0E84" w:rsidRPr="009B15F5" w:rsidRDefault="003F0E84" w:rsidP="003C7A38">
      <w:pPr>
        <w:pStyle w:val="a3"/>
        <w:shd w:val="clear" w:color="auto" w:fill="FDFEFF"/>
        <w:spacing w:before="150" w:beforeAutospacing="0" w:after="225" w:afterAutospacing="0" w:line="405" w:lineRule="atLeast"/>
        <w:jc w:val="both"/>
        <w:rPr>
          <w:sz w:val="28"/>
          <w:szCs w:val="28"/>
          <w:lang w:val="en-US"/>
        </w:rPr>
      </w:pPr>
    </w:p>
    <w:p w:rsidR="003C7A38" w:rsidRDefault="003C7A38" w:rsidP="003C7A38">
      <w:pPr>
        <w:ind w:firstLine="708"/>
        <w:rPr>
          <w:lang w:val="uk-UA"/>
        </w:rPr>
      </w:pPr>
    </w:p>
    <w:p w:rsidR="00B25F58" w:rsidRPr="003C7A38" w:rsidRDefault="00B25F58">
      <w:pPr>
        <w:rPr>
          <w:lang w:val="uk-UA"/>
        </w:rPr>
      </w:pPr>
    </w:p>
    <w:sectPr w:rsidR="00B25F58" w:rsidRPr="003C7A38">
      <w:headerReference w:type="default" r:id="rId15"/>
      <w:footerReference w:type="default" r:id="rId16"/>
      <w:pgSz w:w="11900" w:h="16840"/>
      <w:pgMar w:top="1134" w:right="1134" w:bottom="1134" w:left="1134" w:header="709" w:footer="85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0E42" w:rsidRDefault="005A0E42">
      <w:r>
        <w:separator/>
      </w:r>
    </w:p>
  </w:endnote>
  <w:endnote w:type="continuationSeparator" w:id="0">
    <w:p w:rsidR="005A0E42" w:rsidRDefault="005A0E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Unicode MS">
    <w:panose1 w:val="020B0604020202020204"/>
    <w:charset w:val="00"/>
    <w:family w:val="auto"/>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0E42" w:rsidRDefault="005A0E42">
    <w:pPr>
      <w:pStyle w:val="Header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0E42" w:rsidRDefault="005A0E42">
      <w:r>
        <w:separator/>
      </w:r>
    </w:p>
  </w:footnote>
  <w:footnote w:type="continuationSeparator" w:id="0">
    <w:p w:rsidR="005A0E42" w:rsidRDefault="005A0E4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0E42" w:rsidRDefault="005A0E42">
    <w:pPr>
      <w:pStyle w:val="HeaderFoot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32161E"/>
    <w:multiLevelType w:val="hybridMultilevel"/>
    <w:tmpl w:val="7B2CDCE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7A38"/>
    <w:rsid w:val="000501B4"/>
    <w:rsid w:val="00167995"/>
    <w:rsid w:val="003164DE"/>
    <w:rsid w:val="003C7A38"/>
    <w:rsid w:val="003F0E84"/>
    <w:rsid w:val="00592E2B"/>
    <w:rsid w:val="005A0E42"/>
    <w:rsid w:val="00685B17"/>
    <w:rsid w:val="008A69A4"/>
    <w:rsid w:val="009B15F5"/>
    <w:rsid w:val="00A7065F"/>
    <w:rsid w:val="00B25F58"/>
    <w:rsid w:val="00B44421"/>
    <w:rsid w:val="00E35D41"/>
  </w:rsids>
  <m:mathPr>
    <m:mathFont m:val="Cambria Math"/>
    <m:brkBin m:val="before"/>
    <m:brkBinSub m:val="--"/>
    <m:smallFrac m:val="0"/>
    <m:dispDef/>
    <m:lMargin m:val="0"/>
    <m:rMargin m:val="0"/>
    <m:defJc m:val="centerGroup"/>
    <m:wrapIndent m:val="1440"/>
    <m:intLim m:val="subSup"/>
    <m:naryLim m:val="undOvr"/>
  </m:mathPr>
  <w:themeFontLang w:val="uk-U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7A38"/>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ody">
    <w:name w:val="Body"/>
    <w:rsid w:val="003C7A38"/>
    <w:pPr>
      <w:spacing w:after="0" w:line="240" w:lineRule="auto"/>
    </w:pPr>
    <w:rPr>
      <w:rFonts w:ascii="Arial Unicode MS" w:eastAsia="Arial Unicode MS" w:hAnsi="Arial Unicode MS" w:cs="Arial Unicode MS"/>
      <w:color w:val="000000"/>
      <w:sz w:val="24"/>
      <w:szCs w:val="24"/>
      <w:lang w:eastAsia="uk-UA"/>
    </w:rPr>
  </w:style>
  <w:style w:type="paragraph" w:styleId="a3">
    <w:name w:val="Normal (Web)"/>
    <w:basedOn w:val="a"/>
    <w:uiPriority w:val="99"/>
    <w:unhideWhenUsed/>
    <w:rsid w:val="003C7A38"/>
    <w:pPr>
      <w:spacing w:before="100" w:beforeAutospacing="1" w:after="100" w:afterAutospacing="1"/>
    </w:pPr>
    <w:rPr>
      <w:lang w:val="uk-UA" w:eastAsia="uk-UA"/>
    </w:rPr>
  </w:style>
  <w:style w:type="paragraph" w:customStyle="1" w:styleId="HeaderFooter">
    <w:name w:val="Header &amp; Footer"/>
    <w:rsid w:val="003C7A38"/>
    <w:pPr>
      <w:tabs>
        <w:tab w:val="right" w:pos="9632"/>
      </w:tabs>
      <w:spacing w:after="0" w:line="240" w:lineRule="auto"/>
    </w:pPr>
    <w:rPr>
      <w:rFonts w:ascii="Helvetica" w:eastAsia="Arial Unicode MS" w:hAnsi="Arial Unicode MS" w:cs="Arial Unicode MS"/>
      <w:color w:val="000000"/>
      <w:sz w:val="20"/>
      <w:szCs w:val="20"/>
      <w:lang w:eastAsia="uk-UA"/>
    </w:rPr>
  </w:style>
  <w:style w:type="paragraph" w:styleId="a4">
    <w:name w:val="Balloon Text"/>
    <w:basedOn w:val="a"/>
    <w:link w:val="a5"/>
    <w:uiPriority w:val="99"/>
    <w:semiHidden/>
    <w:unhideWhenUsed/>
    <w:rsid w:val="003C7A38"/>
    <w:rPr>
      <w:rFonts w:ascii="Tahoma" w:hAnsi="Tahoma" w:cs="Tahoma"/>
      <w:sz w:val="16"/>
      <w:szCs w:val="16"/>
    </w:rPr>
  </w:style>
  <w:style w:type="character" w:customStyle="1" w:styleId="a5">
    <w:name w:val="Текст выноски Знак"/>
    <w:basedOn w:val="a0"/>
    <w:link w:val="a4"/>
    <w:uiPriority w:val="99"/>
    <w:semiHidden/>
    <w:rsid w:val="003C7A38"/>
    <w:rPr>
      <w:rFonts w:ascii="Tahoma" w:eastAsia="Times New Roman" w:hAnsi="Tahoma" w:cs="Tahoma"/>
      <w:sz w:val="16"/>
      <w:szCs w:val="16"/>
      <w:lang w:val="en-US"/>
    </w:rPr>
  </w:style>
  <w:style w:type="paragraph" w:styleId="a6">
    <w:name w:val="List Paragraph"/>
    <w:basedOn w:val="a"/>
    <w:uiPriority w:val="34"/>
    <w:qFormat/>
    <w:rsid w:val="003F0E84"/>
    <w:pPr>
      <w:ind w:left="720"/>
      <w:contextualSpacing/>
    </w:pPr>
  </w:style>
  <w:style w:type="character" w:styleId="a7">
    <w:name w:val="Hyperlink"/>
    <w:basedOn w:val="a0"/>
    <w:uiPriority w:val="99"/>
    <w:unhideWhenUsed/>
    <w:rsid w:val="009B15F5"/>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7A38"/>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ody">
    <w:name w:val="Body"/>
    <w:rsid w:val="003C7A38"/>
    <w:pPr>
      <w:spacing w:after="0" w:line="240" w:lineRule="auto"/>
    </w:pPr>
    <w:rPr>
      <w:rFonts w:ascii="Arial Unicode MS" w:eastAsia="Arial Unicode MS" w:hAnsi="Arial Unicode MS" w:cs="Arial Unicode MS"/>
      <w:color w:val="000000"/>
      <w:sz w:val="24"/>
      <w:szCs w:val="24"/>
      <w:lang w:eastAsia="uk-UA"/>
    </w:rPr>
  </w:style>
  <w:style w:type="paragraph" w:styleId="a3">
    <w:name w:val="Normal (Web)"/>
    <w:basedOn w:val="a"/>
    <w:uiPriority w:val="99"/>
    <w:unhideWhenUsed/>
    <w:rsid w:val="003C7A38"/>
    <w:pPr>
      <w:spacing w:before="100" w:beforeAutospacing="1" w:after="100" w:afterAutospacing="1"/>
    </w:pPr>
    <w:rPr>
      <w:lang w:val="uk-UA" w:eastAsia="uk-UA"/>
    </w:rPr>
  </w:style>
  <w:style w:type="paragraph" w:customStyle="1" w:styleId="HeaderFooter">
    <w:name w:val="Header &amp; Footer"/>
    <w:rsid w:val="003C7A38"/>
    <w:pPr>
      <w:tabs>
        <w:tab w:val="right" w:pos="9632"/>
      </w:tabs>
      <w:spacing w:after="0" w:line="240" w:lineRule="auto"/>
    </w:pPr>
    <w:rPr>
      <w:rFonts w:ascii="Helvetica" w:eastAsia="Arial Unicode MS" w:hAnsi="Arial Unicode MS" w:cs="Arial Unicode MS"/>
      <w:color w:val="000000"/>
      <w:sz w:val="20"/>
      <w:szCs w:val="20"/>
      <w:lang w:eastAsia="uk-UA"/>
    </w:rPr>
  </w:style>
  <w:style w:type="paragraph" w:styleId="a4">
    <w:name w:val="Balloon Text"/>
    <w:basedOn w:val="a"/>
    <w:link w:val="a5"/>
    <w:uiPriority w:val="99"/>
    <w:semiHidden/>
    <w:unhideWhenUsed/>
    <w:rsid w:val="003C7A38"/>
    <w:rPr>
      <w:rFonts w:ascii="Tahoma" w:hAnsi="Tahoma" w:cs="Tahoma"/>
      <w:sz w:val="16"/>
      <w:szCs w:val="16"/>
    </w:rPr>
  </w:style>
  <w:style w:type="character" w:customStyle="1" w:styleId="a5">
    <w:name w:val="Текст выноски Знак"/>
    <w:basedOn w:val="a0"/>
    <w:link w:val="a4"/>
    <w:uiPriority w:val="99"/>
    <w:semiHidden/>
    <w:rsid w:val="003C7A38"/>
    <w:rPr>
      <w:rFonts w:ascii="Tahoma" w:eastAsia="Times New Roman" w:hAnsi="Tahoma" w:cs="Tahoma"/>
      <w:sz w:val="16"/>
      <w:szCs w:val="16"/>
      <w:lang w:val="en-US"/>
    </w:rPr>
  </w:style>
  <w:style w:type="paragraph" w:styleId="a6">
    <w:name w:val="List Paragraph"/>
    <w:basedOn w:val="a"/>
    <w:uiPriority w:val="34"/>
    <w:qFormat/>
    <w:rsid w:val="003F0E84"/>
    <w:pPr>
      <w:ind w:left="720"/>
      <w:contextualSpacing/>
    </w:pPr>
  </w:style>
  <w:style w:type="character" w:styleId="a7">
    <w:name w:val="Hyperlink"/>
    <w:basedOn w:val="a0"/>
    <w:uiPriority w:val="99"/>
    <w:unhideWhenUsed/>
    <w:rsid w:val="009B15F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2.png"/><Relationship Id="rId12" Type="http://schemas.openxmlformats.org/officeDocument/2006/relationships/image" Target="media/image3.png"/><Relationship Id="rId13" Type="http://schemas.openxmlformats.org/officeDocument/2006/relationships/image" Target="media/image4.png"/><Relationship Id="rId14" Type="http://schemas.openxmlformats.org/officeDocument/2006/relationships/hyperlink" Target="http://epp.eurostat.ec.europa.eu/" TargetMode="External"/><Relationship Id="rId15" Type="http://schemas.openxmlformats.org/officeDocument/2006/relationships/header" Target="header1.xml"/><Relationship Id="rId16" Type="http://schemas.openxmlformats.org/officeDocument/2006/relationships/footer" Target="footer1.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chart" Target="charts/chart1.xml"/><Relationship Id="rId9" Type="http://schemas.openxmlformats.org/officeDocument/2006/relationships/chart" Target="charts/chart2.xml"/><Relationship Id="rId10"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themeOverride" Target="../theme/themeOverride1.xml"/><Relationship Id="rId2" Type="http://schemas.openxmlformats.org/officeDocument/2006/relationships/oleObject" Target="file:///C:\Users\Igor\Desktop\&#1044;&#1048;&#1055;&#1051;&#1054;&#1052;\&#1057;&#1090;&#1072;&#1090;&#1080;&#1089;&#1090;&#1080;&#1082;&#1072;%20&#1085;&#1086;&#1074;&#1110;%20&#1082;&#1088;&#1072;&#1110;&#776;&#1085;&#1080;%20&#1045;&#1057;%20(&#1040;&#1074;&#1090;&#1086;&#1079;&#1073;&#1077;&#1088;&#1077;&#1078;&#1077;&#1085;&#1086;)VERSION%202.xlsx" TargetMode="External"/></Relationships>
</file>

<file path=word/charts/_rels/chart2.xml.rels><?xml version="1.0" encoding="UTF-8" standalone="yes"?>
<Relationships xmlns="http://schemas.openxmlformats.org/package/2006/relationships"><Relationship Id="rId1" Type="http://schemas.openxmlformats.org/officeDocument/2006/relationships/themeOverride" Target="../theme/themeOverride2.xml"/><Relationship Id="rId2" Type="http://schemas.openxmlformats.org/officeDocument/2006/relationships/oleObject" Target="file:///C:\Users\Igor\Desktop\&#1044;&#1048;&#1055;&#1051;&#1054;&#1052;\&#1057;&#1090;&#1072;&#1090;&#1080;&#1089;&#1090;&#1080;&#1082;&#1072;%20&#1085;&#1086;&#1074;&#1110;%20&#1082;&#1088;&#1072;&#1110;&#776;&#1085;&#1080;%20&#1045;&#1057;%20(&#1040;&#1074;&#1090;&#1086;&#1079;&#1073;&#1077;&#1088;&#1077;&#1078;&#1077;&#1085;&#1086;)VERSION%20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rAngAx val="0"/>
      <c:perspective val="30"/>
    </c:view3D>
    <c:floor>
      <c:thickness val="0"/>
    </c:floor>
    <c:sideWall>
      <c:thickness val="0"/>
    </c:sideWall>
    <c:backWall>
      <c:thickness val="0"/>
    </c:backWall>
    <c:plotArea>
      <c:layout/>
      <c:line3DChart>
        <c:grouping val="standard"/>
        <c:varyColors val="0"/>
        <c:ser>
          <c:idx val="0"/>
          <c:order val="0"/>
          <c:tx>
            <c:strRef>
              <c:f>Аркуш6!$D$6</c:f>
              <c:strCache>
                <c:ptCount val="1"/>
                <c:pt idx="0">
                  <c:v>Латвія</c:v>
                </c:pt>
              </c:strCache>
            </c:strRef>
          </c:tx>
          <c:cat>
            <c:numRef>
              <c:f>Аркуш6!$C$7:$C$24</c:f>
              <c:numCache>
                <c:formatCode>General</c:formatCode>
                <c:ptCount val="18"/>
                <c:pt idx="0">
                  <c:v>1995.0</c:v>
                </c:pt>
                <c:pt idx="1">
                  <c:v>1996.0</c:v>
                </c:pt>
                <c:pt idx="2">
                  <c:v>1997.0</c:v>
                </c:pt>
                <c:pt idx="3">
                  <c:v>1998.0</c:v>
                </c:pt>
                <c:pt idx="4">
                  <c:v>1999.0</c:v>
                </c:pt>
                <c:pt idx="5">
                  <c:v>2000.0</c:v>
                </c:pt>
                <c:pt idx="6">
                  <c:v>2001.0</c:v>
                </c:pt>
                <c:pt idx="7">
                  <c:v>2002.0</c:v>
                </c:pt>
                <c:pt idx="8">
                  <c:v>2003.0</c:v>
                </c:pt>
                <c:pt idx="9">
                  <c:v>2004.0</c:v>
                </c:pt>
                <c:pt idx="10">
                  <c:v>2005.0</c:v>
                </c:pt>
                <c:pt idx="11">
                  <c:v>2006.0</c:v>
                </c:pt>
                <c:pt idx="12">
                  <c:v>2007.0</c:v>
                </c:pt>
                <c:pt idx="13">
                  <c:v>2008.0</c:v>
                </c:pt>
                <c:pt idx="14">
                  <c:v>2009.0</c:v>
                </c:pt>
                <c:pt idx="15">
                  <c:v>2010.0</c:v>
                </c:pt>
                <c:pt idx="16">
                  <c:v>2011.0</c:v>
                </c:pt>
                <c:pt idx="17">
                  <c:v>2012.0</c:v>
                </c:pt>
              </c:numCache>
            </c:numRef>
          </c:cat>
          <c:val>
            <c:numRef>
              <c:f>Аркуш6!$D$7:$D$24</c:f>
              <c:numCache>
                <c:formatCode>General</c:formatCode>
                <c:ptCount val="18"/>
                <c:pt idx="0">
                  <c:v>12.193</c:v>
                </c:pt>
                <c:pt idx="1">
                  <c:v>12.988</c:v>
                </c:pt>
                <c:pt idx="2">
                  <c:v>14.551</c:v>
                </c:pt>
                <c:pt idx="3">
                  <c:v>15.842</c:v>
                </c:pt>
                <c:pt idx="4">
                  <c:v>16.361</c:v>
                </c:pt>
                <c:pt idx="5">
                  <c:v>17.39</c:v>
                </c:pt>
                <c:pt idx="6">
                  <c:v>18.79</c:v>
                </c:pt>
                <c:pt idx="7">
                  <c:v>20.597</c:v>
                </c:pt>
                <c:pt idx="8">
                  <c:v>22.025</c:v>
                </c:pt>
                <c:pt idx="9">
                  <c:v>24.191</c:v>
                </c:pt>
                <c:pt idx="10">
                  <c:v>26.34</c:v>
                </c:pt>
                <c:pt idx="11">
                  <c:v>29.329</c:v>
                </c:pt>
                <c:pt idx="12">
                  <c:v>33.243</c:v>
                </c:pt>
                <c:pt idx="13">
                  <c:v>33.379</c:v>
                </c:pt>
                <c:pt idx="14">
                  <c:v>28.716</c:v>
                </c:pt>
                <c:pt idx="15">
                  <c:v>29.906</c:v>
                </c:pt>
                <c:pt idx="16">
                  <c:v>32.81</c:v>
                </c:pt>
                <c:pt idx="17">
                  <c:v>35.438</c:v>
                </c:pt>
              </c:numCache>
            </c:numRef>
          </c:val>
          <c:smooth val="0"/>
        </c:ser>
        <c:ser>
          <c:idx val="1"/>
          <c:order val="1"/>
          <c:tx>
            <c:strRef>
              <c:f>Аркуш6!$E$6</c:f>
              <c:strCache>
                <c:ptCount val="1"/>
                <c:pt idx="0">
                  <c:v>Литва</c:v>
                </c:pt>
              </c:strCache>
            </c:strRef>
          </c:tx>
          <c:cat>
            <c:numRef>
              <c:f>Аркуш6!$C$7:$C$24</c:f>
              <c:numCache>
                <c:formatCode>General</c:formatCode>
                <c:ptCount val="18"/>
                <c:pt idx="0">
                  <c:v>1995.0</c:v>
                </c:pt>
                <c:pt idx="1">
                  <c:v>1996.0</c:v>
                </c:pt>
                <c:pt idx="2">
                  <c:v>1997.0</c:v>
                </c:pt>
                <c:pt idx="3">
                  <c:v>1998.0</c:v>
                </c:pt>
                <c:pt idx="4">
                  <c:v>1999.0</c:v>
                </c:pt>
                <c:pt idx="5">
                  <c:v>2000.0</c:v>
                </c:pt>
                <c:pt idx="6">
                  <c:v>2001.0</c:v>
                </c:pt>
                <c:pt idx="7">
                  <c:v>2002.0</c:v>
                </c:pt>
                <c:pt idx="8">
                  <c:v>2003.0</c:v>
                </c:pt>
                <c:pt idx="9">
                  <c:v>2004.0</c:v>
                </c:pt>
                <c:pt idx="10">
                  <c:v>2005.0</c:v>
                </c:pt>
                <c:pt idx="11">
                  <c:v>2006.0</c:v>
                </c:pt>
                <c:pt idx="12">
                  <c:v>2007.0</c:v>
                </c:pt>
                <c:pt idx="13">
                  <c:v>2008.0</c:v>
                </c:pt>
                <c:pt idx="14">
                  <c:v>2009.0</c:v>
                </c:pt>
                <c:pt idx="15">
                  <c:v>2010.0</c:v>
                </c:pt>
                <c:pt idx="16">
                  <c:v>2011.0</c:v>
                </c:pt>
                <c:pt idx="17">
                  <c:v>2012.0</c:v>
                </c:pt>
              </c:numCache>
            </c:numRef>
          </c:cat>
          <c:val>
            <c:numRef>
              <c:f>Аркуш6!$E$7:$E$24</c:f>
              <c:numCache>
                <c:formatCode>General</c:formatCode>
                <c:ptCount val="18"/>
                <c:pt idx="0">
                  <c:v>20.152</c:v>
                </c:pt>
                <c:pt idx="1">
                  <c:v>21.693</c:v>
                </c:pt>
                <c:pt idx="2">
                  <c:v>23.765</c:v>
                </c:pt>
                <c:pt idx="3">
                  <c:v>25.792</c:v>
                </c:pt>
                <c:pt idx="4">
                  <c:v>25.919</c:v>
                </c:pt>
                <c:pt idx="5">
                  <c:v>27.846</c:v>
                </c:pt>
                <c:pt idx="6">
                  <c:v>30.241</c:v>
                </c:pt>
                <c:pt idx="7">
                  <c:v>33.21700000000001</c:v>
                </c:pt>
                <c:pt idx="8">
                  <c:v>37.369</c:v>
                </c:pt>
                <c:pt idx="9">
                  <c:v>39.989</c:v>
                </c:pt>
                <c:pt idx="10">
                  <c:v>43.042</c:v>
                </c:pt>
                <c:pt idx="11">
                  <c:v>47.018</c:v>
                </c:pt>
                <c:pt idx="12">
                  <c:v>52.716</c:v>
                </c:pt>
                <c:pt idx="13">
                  <c:v>54.035</c:v>
                </c:pt>
                <c:pt idx="14">
                  <c:v>45.54600000000001</c:v>
                </c:pt>
                <c:pt idx="15">
                  <c:v>49.62300000000001</c:v>
                </c:pt>
                <c:pt idx="16">
                  <c:v>54.401</c:v>
                </c:pt>
                <c:pt idx="17">
                  <c:v>58.122</c:v>
                </c:pt>
              </c:numCache>
            </c:numRef>
          </c:val>
          <c:smooth val="0"/>
        </c:ser>
        <c:dLbls>
          <c:showLegendKey val="0"/>
          <c:showVal val="0"/>
          <c:showCatName val="0"/>
          <c:showSerName val="0"/>
          <c:showPercent val="0"/>
          <c:showBubbleSize val="0"/>
        </c:dLbls>
        <c:axId val="417695064"/>
        <c:axId val="417698744"/>
        <c:axId val="417705576"/>
      </c:line3DChart>
      <c:catAx>
        <c:axId val="417695064"/>
        <c:scaling>
          <c:orientation val="minMax"/>
        </c:scaling>
        <c:delete val="0"/>
        <c:axPos val="b"/>
        <c:numFmt formatCode="General" sourceLinked="1"/>
        <c:majorTickMark val="none"/>
        <c:minorTickMark val="none"/>
        <c:tickLblPos val="nextTo"/>
        <c:crossAx val="417698744"/>
        <c:crosses val="autoZero"/>
        <c:auto val="1"/>
        <c:lblAlgn val="ctr"/>
        <c:lblOffset val="100"/>
        <c:noMultiLvlLbl val="0"/>
      </c:catAx>
      <c:valAx>
        <c:axId val="417698744"/>
        <c:scaling>
          <c:orientation val="minMax"/>
        </c:scaling>
        <c:delete val="0"/>
        <c:axPos val="l"/>
        <c:majorGridlines/>
        <c:title>
          <c:tx>
            <c:rich>
              <a:bodyPr/>
              <a:lstStyle/>
              <a:p>
                <a:pPr>
                  <a:defRPr/>
                </a:pPr>
                <a:r>
                  <a:rPr lang="uk-UA"/>
                  <a:t>Обсяг ВВП</a:t>
                </a:r>
              </a:p>
            </c:rich>
          </c:tx>
          <c:layout/>
          <c:overlay val="0"/>
        </c:title>
        <c:numFmt formatCode="General" sourceLinked="1"/>
        <c:majorTickMark val="none"/>
        <c:minorTickMark val="none"/>
        <c:tickLblPos val="nextTo"/>
        <c:crossAx val="417695064"/>
        <c:crosses val="autoZero"/>
        <c:crossBetween val="between"/>
      </c:valAx>
      <c:serAx>
        <c:axId val="417705576"/>
        <c:scaling>
          <c:orientation val="minMax"/>
        </c:scaling>
        <c:delete val="1"/>
        <c:axPos val="b"/>
        <c:majorTickMark val="out"/>
        <c:minorTickMark val="none"/>
        <c:tickLblPos val="nextTo"/>
        <c:crossAx val="417698744"/>
        <c:crosses val="autoZero"/>
      </c:serAx>
    </c:plotArea>
    <c:legend>
      <c:legendPos val="r"/>
      <c:layout/>
      <c:overlay val="0"/>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Аркуш6!$D$6</c:f>
              <c:strCache>
                <c:ptCount val="1"/>
                <c:pt idx="0">
                  <c:v>Латвія</c:v>
                </c:pt>
              </c:strCache>
            </c:strRef>
          </c:tx>
          <c:marker>
            <c:symbol val="none"/>
          </c:marker>
          <c:dPt>
            <c:idx val="18"/>
            <c:bubble3D val="0"/>
            <c:spPr>
              <a:ln>
                <a:solidFill>
                  <a:schemeClr val="accent2"/>
                </a:solidFill>
                <a:prstDash val="lgDash"/>
              </a:ln>
            </c:spPr>
          </c:dPt>
          <c:dPt>
            <c:idx val="19"/>
            <c:bubble3D val="0"/>
            <c:spPr>
              <a:ln>
                <a:solidFill>
                  <a:schemeClr val="accent2"/>
                </a:solidFill>
                <a:prstDash val="dash"/>
              </a:ln>
            </c:spPr>
          </c:dPt>
          <c:dPt>
            <c:idx val="20"/>
            <c:bubble3D val="0"/>
            <c:spPr>
              <a:ln>
                <a:solidFill>
                  <a:schemeClr val="accent2"/>
                </a:solidFill>
                <a:prstDash val="dashDot"/>
              </a:ln>
            </c:spPr>
          </c:dPt>
          <c:dPt>
            <c:idx val="21"/>
            <c:bubble3D val="0"/>
            <c:spPr>
              <a:ln>
                <a:solidFill>
                  <a:schemeClr val="accent2"/>
                </a:solidFill>
                <a:prstDash val="dash"/>
              </a:ln>
            </c:spPr>
          </c:dPt>
          <c:dPt>
            <c:idx val="22"/>
            <c:bubble3D val="0"/>
            <c:spPr>
              <a:ln>
                <a:solidFill>
                  <a:schemeClr val="accent2"/>
                </a:solidFill>
                <a:prstDash val="dash"/>
              </a:ln>
            </c:spPr>
          </c:dPt>
          <c:cat>
            <c:numRef>
              <c:f>Аркуш6!$C$7:$C$29</c:f>
              <c:numCache>
                <c:formatCode>General</c:formatCode>
                <c:ptCount val="23"/>
                <c:pt idx="0">
                  <c:v>1995.0</c:v>
                </c:pt>
                <c:pt idx="1">
                  <c:v>1996.0</c:v>
                </c:pt>
                <c:pt idx="2">
                  <c:v>1997.0</c:v>
                </c:pt>
                <c:pt idx="3">
                  <c:v>1998.0</c:v>
                </c:pt>
                <c:pt idx="4">
                  <c:v>1999.0</c:v>
                </c:pt>
                <c:pt idx="5">
                  <c:v>2000.0</c:v>
                </c:pt>
                <c:pt idx="6">
                  <c:v>2001.0</c:v>
                </c:pt>
                <c:pt idx="7">
                  <c:v>2002.0</c:v>
                </c:pt>
                <c:pt idx="8">
                  <c:v>2003.0</c:v>
                </c:pt>
                <c:pt idx="9">
                  <c:v>2004.0</c:v>
                </c:pt>
                <c:pt idx="10">
                  <c:v>2005.0</c:v>
                </c:pt>
                <c:pt idx="11">
                  <c:v>2006.0</c:v>
                </c:pt>
                <c:pt idx="12">
                  <c:v>2007.0</c:v>
                </c:pt>
                <c:pt idx="13">
                  <c:v>2008.0</c:v>
                </c:pt>
                <c:pt idx="14">
                  <c:v>2009.0</c:v>
                </c:pt>
                <c:pt idx="15">
                  <c:v>2010.0</c:v>
                </c:pt>
                <c:pt idx="16">
                  <c:v>2011.0</c:v>
                </c:pt>
                <c:pt idx="17">
                  <c:v>2012.0</c:v>
                </c:pt>
                <c:pt idx="18">
                  <c:v>2013.0</c:v>
                </c:pt>
                <c:pt idx="19">
                  <c:v>2014.0</c:v>
                </c:pt>
                <c:pt idx="20">
                  <c:v>2015.0</c:v>
                </c:pt>
                <c:pt idx="21">
                  <c:v>2016.0</c:v>
                </c:pt>
                <c:pt idx="22">
                  <c:v>2017.0</c:v>
                </c:pt>
              </c:numCache>
            </c:numRef>
          </c:cat>
          <c:val>
            <c:numRef>
              <c:f>Аркуш6!$D$7:$D$29</c:f>
              <c:numCache>
                <c:formatCode>General</c:formatCode>
                <c:ptCount val="23"/>
                <c:pt idx="0">
                  <c:v>12.193</c:v>
                </c:pt>
                <c:pt idx="1">
                  <c:v>12.988</c:v>
                </c:pt>
                <c:pt idx="2">
                  <c:v>14.551</c:v>
                </c:pt>
                <c:pt idx="3">
                  <c:v>15.842</c:v>
                </c:pt>
                <c:pt idx="4">
                  <c:v>16.361</c:v>
                </c:pt>
                <c:pt idx="5">
                  <c:v>17.39</c:v>
                </c:pt>
                <c:pt idx="6">
                  <c:v>18.79</c:v>
                </c:pt>
                <c:pt idx="7">
                  <c:v>20.597</c:v>
                </c:pt>
                <c:pt idx="8">
                  <c:v>22.025</c:v>
                </c:pt>
                <c:pt idx="9">
                  <c:v>24.191</c:v>
                </c:pt>
                <c:pt idx="10">
                  <c:v>26.34</c:v>
                </c:pt>
                <c:pt idx="11">
                  <c:v>29.329</c:v>
                </c:pt>
                <c:pt idx="12">
                  <c:v>33.243</c:v>
                </c:pt>
                <c:pt idx="13">
                  <c:v>33.379</c:v>
                </c:pt>
                <c:pt idx="14">
                  <c:v>28.716</c:v>
                </c:pt>
                <c:pt idx="15">
                  <c:v>29.906</c:v>
                </c:pt>
                <c:pt idx="16">
                  <c:v>32.81</c:v>
                </c:pt>
                <c:pt idx="17">
                  <c:v>35.438</c:v>
                </c:pt>
                <c:pt idx="18">
                  <c:v>30.62299999999999</c:v>
                </c:pt>
                <c:pt idx="19">
                  <c:v>31.453</c:v>
                </c:pt>
                <c:pt idx="20">
                  <c:v>32.283</c:v>
                </c:pt>
                <c:pt idx="21">
                  <c:v>33.113</c:v>
                </c:pt>
                <c:pt idx="22">
                  <c:v>33.943</c:v>
                </c:pt>
              </c:numCache>
            </c:numRef>
          </c:val>
          <c:smooth val="0"/>
        </c:ser>
        <c:ser>
          <c:idx val="1"/>
          <c:order val="1"/>
          <c:tx>
            <c:strRef>
              <c:f>Аркуш6!$E$6</c:f>
              <c:strCache>
                <c:ptCount val="1"/>
                <c:pt idx="0">
                  <c:v>Литва</c:v>
                </c:pt>
              </c:strCache>
            </c:strRef>
          </c:tx>
          <c:marker>
            <c:symbol val="none"/>
          </c:marker>
          <c:dPt>
            <c:idx val="18"/>
            <c:bubble3D val="0"/>
            <c:spPr>
              <a:ln>
                <a:solidFill>
                  <a:schemeClr val="accent5"/>
                </a:solidFill>
                <a:prstDash val="dash"/>
              </a:ln>
            </c:spPr>
          </c:dPt>
          <c:dPt>
            <c:idx val="19"/>
            <c:bubble3D val="0"/>
            <c:spPr>
              <a:ln>
                <a:solidFill>
                  <a:schemeClr val="accent5"/>
                </a:solidFill>
                <a:prstDash val="dash"/>
              </a:ln>
            </c:spPr>
          </c:dPt>
          <c:dPt>
            <c:idx val="20"/>
            <c:bubble3D val="0"/>
            <c:spPr>
              <a:ln>
                <a:solidFill>
                  <a:schemeClr val="accent5"/>
                </a:solidFill>
                <a:prstDash val="dash"/>
              </a:ln>
            </c:spPr>
          </c:dPt>
          <c:dPt>
            <c:idx val="21"/>
            <c:bubble3D val="0"/>
            <c:spPr>
              <a:ln>
                <a:solidFill>
                  <a:schemeClr val="accent5"/>
                </a:solidFill>
                <a:prstDash val="dash"/>
              </a:ln>
            </c:spPr>
          </c:dPt>
          <c:dPt>
            <c:idx val="22"/>
            <c:bubble3D val="0"/>
            <c:spPr>
              <a:ln>
                <a:solidFill>
                  <a:schemeClr val="accent5"/>
                </a:solidFill>
                <a:prstDash val="dash"/>
              </a:ln>
            </c:spPr>
          </c:dPt>
          <c:cat>
            <c:numRef>
              <c:f>Аркуш6!$C$7:$C$29</c:f>
              <c:numCache>
                <c:formatCode>General</c:formatCode>
                <c:ptCount val="23"/>
                <c:pt idx="0">
                  <c:v>1995.0</c:v>
                </c:pt>
                <c:pt idx="1">
                  <c:v>1996.0</c:v>
                </c:pt>
                <c:pt idx="2">
                  <c:v>1997.0</c:v>
                </c:pt>
                <c:pt idx="3">
                  <c:v>1998.0</c:v>
                </c:pt>
                <c:pt idx="4">
                  <c:v>1999.0</c:v>
                </c:pt>
                <c:pt idx="5">
                  <c:v>2000.0</c:v>
                </c:pt>
                <c:pt idx="6">
                  <c:v>2001.0</c:v>
                </c:pt>
                <c:pt idx="7">
                  <c:v>2002.0</c:v>
                </c:pt>
                <c:pt idx="8">
                  <c:v>2003.0</c:v>
                </c:pt>
                <c:pt idx="9">
                  <c:v>2004.0</c:v>
                </c:pt>
                <c:pt idx="10">
                  <c:v>2005.0</c:v>
                </c:pt>
                <c:pt idx="11">
                  <c:v>2006.0</c:v>
                </c:pt>
                <c:pt idx="12">
                  <c:v>2007.0</c:v>
                </c:pt>
                <c:pt idx="13">
                  <c:v>2008.0</c:v>
                </c:pt>
                <c:pt idx="14">
                  <c:v>2009.0</c:v>
                </c:pt>
                <c:pt idx="15">
                  <c:v>2010.0</c:v>
                </c:pt>
                <c:pt idx="16">
                  <c:v>2011.0</c:v>
                </c:pt>
                <c:pt idx="17">
                  <c:v>2012.0</c:v>
                </c:pt>
                <c:pt idx="18">
                  <c:v>2013.0</c:v>
                </c:pt>
                <c:pt idx="19">
                  <c:v>2014.0</c:v>
                </c:pt>
                <c:pt idx="20">
                  <c:v>2015.0</c:v>
                </c:pt>
                <c:pt idx="21">
                  <c:v>2016.0</c:v>
                </c:pt>
                <c:pt idx="22">
                  <c:v>2017.0</c:v>
                </c:pt>
              </c:numCache>
            </c:numRef>
          </c:cat>
          <c:val>
            <c:numRef>
              <c:f>Аркуш6!$E$7:$E$29</c:f>
              <c:numCache>
                <c:formatCode>General</c:formatCode>
                <c:ptCount val="23"/>
                <c:pt idx="0">
                  <c:v>20.152</c:v>
                </c:pt>
                <c:pt idx="1">
                  <c:v>21.693</c:v>
                </c:pt>
                <c:pt idx="2">
                  <c:v>23.765</c:v>
                </c:pt>
                <c:pt idx="3">
                  <c:v>25.792</c:v>
                </c:pt>
                <c:pt idx="4">
                  <c:v>25.919</c:v>
                </c:pt>
                <c:pt idx="5">
                  <c:v>27.846</c:v>
                </c:pt>
                <c:pt idx="6">
                  <c:v>30.241</c:v>
                </c:pt>
                <c:pt idx="7">
                  <c:v>33.21700000000001</c:v>
                </c:pt>
                <c:pt idx="8">
                  <c:v>37.369</c:v>
                </c:pt>
                <c:pt idx="9">
                  <c:v>39.989</c:v>
                </c:pt>
                <c:pt idx="10">
                  <c:v>43.042</c:v>
                </c:pt>
                <c:pt idx="11">
                  <c:v>47.018</c:v>
                </c:pt>
                <c:pt idx="12">
                  <c:v>52.716</c:v>
                </c:pt>
                <c:pt idx="13">
                  <c:v>54.035</c:v>
                </c:pt>
                <c:pt idx="14">
                  <c:v>45.54600000000001</c:v>
                </c:pt>
                <c:pt idx="15">
                  <c:v>49.62300000000001</c:v>
                </c:pt>
                <c:pt idx="16">
                  <c:v>54.401</c:v>
                </c:pt>
                <c:pt idx="17">
                  <c:v>58.122</c:v>
                </c:pt>
                <c:pt idx="18">
                  <c:v>49.873</c:v>
                </c:pt>
                <c:pt idx="19">
                  <c:v>51.22600000000001</c:v>
                </c:pt>
                <c:pt idx="20">
                  <c:v>52.57900000000001</c:v>
                </c:pt>
                <c:pt idx="21">
                  <c:v>53.932</c:v>
                </c:pt>
                <c:pt idx="22">
                  <c:v>55.285</c:v>
                </c:pt>
              </c:numCache>
            </c:numRef>
          </c:val>
          <c:smooth val="0"/>
        </c:ser>
        <c:dLbls>
          <c:showLegendKey val="0"/>
          <c:showVal val="0"/>
          <c:showCatName val="0"/>
          <c:showSerName val="0"/>
          <c:showPercent val="0"/>
          <c:showBubbleSize val="0"/>
        </c:dLbls>
        <c:marker val="1"/>
        <c:smooth val="0"/>
        <c:axId val="593135128"/>
        <c:axId val="593138104"/>
      </c:lineChart>
      <c:catAx>
        <c:axId val="593135128"/>
        <c:scaling>
          <c:orientation val="minMax"/>
        </c:scaling>
        <c:delete val="0"/>
        <c:axPos val="b"/>
        <c:numFmt formatCode="General" sourceLinked="1"/>
        <c:majorTickMark val="none"/>
        <c:minorTickMark val="none"/>
        <c:tickLblPos val="nextTo"/>
        <c:crossAx val="593138104"/>
        <c:crosses val="autoZero"/>
        <c:auto val="1"/>
        <c:lblAlgn val="ctr"/>
        <c:lblOffset val="100"/>
        <c:noMultiLvlLbl val="0"/>
      </c:catAx>
      <c:valAx>
        <c:axId val="593138104"/>
        <c:scaling>
          <c:orientation val="minMax"/>
        </c:scaling>
        <c:delete val="0"/>
        <c:axPos val="l"/>
        <c:majorGridlines/>
        <c:title>
          <c:tx>
            <c:rich>
              <a:bodyPr/>
              <a:lstStyle/>
              <a:p>
                <a:pPr>
                  <a:defRPr/>
                </a:pPr>
                <a:r>
                  <a:rPr lang="uk-UA"/>
                  <a:t>Обсяг ВВП</a:t>
                </a:r>
              </a:p>
            </c:rich>
          </c:tx>
          <c:layout/>
          <c:overlay val="0"/>
        </c:title>
        <c:numFmt formatCode="General" sourceLinked="1"/>
        <c:majorTickMark val="none"/>
        <c:minorTickMark val="none"/>
        <c:tickLblPos val="nextTo"/>
        <c:crossAx val="593135128"/>
        <c:crosses val="autoZero"/>
        <c:crossBetween val="between"/>
      </c:valAx>
    </c:plotArea>
    <c:legend>
      <c:legendPos val="r"/>
      <c:layout/>
      <c:overlay val="0"/>
    </c:legend>
    <c:plotVisOnly val="1"/>
    <c:dispBlanksAs val="gap"/>
    <c:showDLblsOverMax val="0"/>
  </c:chart>
  <c:externalData r:id="rId2">
    <c:autoUpdate val="0"/>
  </c:externalData>
</c:chartSpace>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4</TotalTime>
  <Pages>9</Pages>
  <Words>1921</Words>
  <Characters>10953</Characters>
  <Application>Microsoft Macintosh Word</Application>
  <DocSecurity>0</DocSecurity>
  <Lines>91</Lines>
  <Paragraphs>25</Paragraphs>
  <ScaleCrop>false</ScaleCrop>
  <HeadingPairs>
    <vt:vector size="2" baseType="variant">
      <vt:variant>
        <vt:lpstr>Назва</vt:lpstr>
      </vt:variant>
      <vt:variant>
        <vt:i4>1</vt:i4>
      </vt:variant>
    </vt:vector>
  </HeadingPairs>
  <TitlesOfParts>
    <vt:vector size="1" baseType="lpstr">
      <vt:lpstr/>
    </vt:vector>
  </TitlesOfParts>
  <Company>Reanimator Extreme Edition</Company>
  <LinksUpToDate>false</LinksUpToDate>
  <CharactersWithSpaces>12849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Igor</dc:creator>
  <cp:keywords/>
  <dc:description/>
  <cp:lastModifiedBy>Vadym Aftandilyants</cp:lastModifiedBy>
  <cp:revision>2</cp:revision>
  <dcterms:created xsi:type="dcterms:W3CDTF">2014-04-23T20:21:00Z</dcterms:created>
  <dcterms:modified xsi:type="dcterms:W3CDTF">2014-04-23T20:21:00Z</dcterms:modified>
</cp:coreProperties>
</file>